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小标宋简体" w:cs="Times New Roman"/>
          <w:sz w:val="44"/>
        </w:rPr>
      </w:pPr>
      <w:r>
        <w:rPr>
          <w:rFonts w:hint="default" w:ascii="Times New Roman" w:hAnsi="Times New Roman" w:eastAsia="黑体" w:cs="Times New Roman"/>
        </w:rPr>
        <w:t>附件1-2</w:t>
      </w:r>
    </w:p>
    <w:p>
      <w:pPr>
        <w:spacing w:line="600" w:lineRule="exact"/>
        <w:ind w:firstLine="643"/>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河南省消防安全重点单位界定标准</w:t>
      </w:r>
    </w:p>
    <w:p>
      <w:pPr>
        <w:spacing w:line="600" w:lineRule="exact"/>
        <w:ind w:firstLine="640" w:firstLineChars="200"/>
        <w:rPr>
          <w:rFonts w:hint="eastAsia" w:ascii="方正黑体_GBK" w:hAnsi="方正黑体_GBK" w:eastAsia="方正黑体_GBK" w:cs="方正黑体_GBK"/>
          <w:color w:val="000000"/>
          <w:szCs w:val="32"/>
          <w:shd w:val="clear" w:color="auto" w:fill="FFFFFF"/>
        </w:rPr>
      </w:pPr>
    </w:p>
    <w:p>
      <w:pPr>
        <w:spacing w:line="600" w:lineRule="exact"/>
        <w:ind w:firstLine="640" w:firstLineChars="200"/>
        <w:rPr>
          <w:rFonts w:ascii="黑体" w:hAnsi="Arial" w:eastAsia="黑体"/>
          <w:color w:val="000000"/>
          <w:szCs w:val="32"/>
        </w:rPr>
      </w:pPr>
      <w:r>
        <w:rPr>
          <w:rFonts w:hint="eastAsia" w:ascii="方正黑体_GBK" w:hAnsi="方正黑体_GBK" w:eastAsia="方正黑体_GBK" w:cs="方正黑体_GBK"/>
          <w:color w:val="000000"/>
          <w:szCs w:val="32"/>
          <w:shd w:val="clear" w:color="auto" w:fill="FFFFFF"/>
        </w:rPr>
        <w:t>一、宾馆、饭店、商场、集贸市场、体育场馆、会堂、公共娱乐场所等公众聚集场所：</w:t>
      </w:r>
    </w:p>
    <w:p>
      <w:pPr>
        <w:spacing w:line="600" w:lineRule="exact"/>
        <w:ind w:firstLine="640" w:firstLineChars="200"/>
        <w:rPr>
          <w:rFonts w:eastAsia="方正仿宋_GBK"/>
          <w:szCs w:val="32"/>
          <w:shd w:val="clear" w:color="auto" w:fill="FFFFFF"/>
        </w:rPr>
      </w:pPr>
      <w:r>
        <w:rPr>
          <w:rFonts w:eastAsia="方正仿宋_GBK"/>
          <w:color w:val="000000"/>
          <w:szCs w:val="32"/>
          <w:shd w:val="clear" w:color="auto" w:fill="FFFFFF"/>
        </w:rPr>
        <w:t>（一）建筑面积在1000平方米（含本数，下同）以上且经营可燃商品的</w:t>
      </w:r>
      <w:r>
        <w:rPr>
          <w:rFonts w:eastAsia="方正仿宋_GBK"/>
          <w:szCs w:val="32"/>
          <w:shd w:val="clear" w:color="auto" w:fill="FFFFFF"/>
        </w:rPr>
        <w:t>商场、集贸市场；</w:t>
      </w:r>
    </w:p>
    <w:p>
      <w:pPr>
        <w:spacing w:line="600" w:lineRule="exact"/>
        <w:ind w:firstLine="640" w:firstLineChars="200"/>
        <w:rPr>
          <w:rFonts w:eastAsia="方正仿宋_GBK"/>
          <w:szCs w:val="32"/>
          <w:shd w:val="clear" w:color="auto" w:fill="FFFFFF"/>
        </w:rPr>
      </w:pPr>
      <w:r>
        <w:rPr>
          <w:rFonts w:eastAsia="方正仿宋_GBK"/>
          <w:szCs w:val="32"/>
          <w:shd w:val="clear" w:color="auto" w:fill="FFFFFF"/>
        </w:rPr>
        <w:t>（二）客房数在50间以上，或客房数在50间以下但设有商场、歌舞娱乐、餐饮场所等且建筑面积大于2000平方米的宾馆、饭店；</w:t>
      </w:r>
    </w:p>
    <w:p>
      <w:pPr>
        <w:spacing w:line="600" w:lineRule="exact"/>
        <w:ind w:firstLine="640" w:firstLineChars="200"/>
        <w:rPr>
          <w:rFonts w:eastAsia="方正仿宋_GBK"/>
          <w:szCs w:val="32"/>
          <w:shd w:val="clear" w:color="auto" w:fill="FFFFFF"/>
        </w:rPr>
      </w:pPr>
      <w:r>
        <w:rPr>
          <w:rFonts w:eastAsia="方正仿宋_GBK"/>
          <w:szCs w:val="32"/>
          <w:shd w:val="clear" w:color="auto" w:fill="FFFFFF"/>
        </w:rPr>
        <w:t>（三）公共的体育场馆、会堂；</w:t>
      </w:r>
    </w:p>
    <w:p>
      <w:pPr>
        <w:spacing w:line="600" w:lineRule="exact"/>
        <w:ind w:firstLine="640" w:firstLineChars="200"/>
        <w:rPr>
          <w:rFonts w:eastAsia="方正仿宋_GBK"/>
          <w:szCs w:val="32"/>
        </w:rPr>
      </w:pPr>
      <w:bookmarkStart w:id="0" w:name="_GoBack"/>
      <w:bookmarkEnd w:id="0"/>
      <w:r>
        <w:rPr>
          <w:rFonts w:eastAsia="方正仿宋_GBK"/>
          <w:szCs w:val="32"/>
          <w:shd w:val="clear" w:color="auto" w:fill="FFFFFF"/>
        </w:rPr>
        <w:t>（四）建筑面积在200平方米以上的下列室内公共娱乐场所：1.影剧院、放映厅、礼堂等演出放映场所；</w:t>
      </w:r>
    </w:p>
    <w:p>
      <w:pPr>
        <w:spacing w:line="600" w:lineRule="exact"/>
        <w:ind w:firstLine="640" w:firstLineChars="200"/>
        <w:rPr>
          <w:rFonts w:eastAsia="方正仿宋_GBK"/>
          <w:szCs w:val="32"/>
        </w:rPr>
      </w:pPr>
      <w:r>
        <w:rPr>
          <w:rFonts w:eastAsia="方正仿宋_GBK"/>
          <w:szCs w:val="32"/>
          <w:shd w:val="clear" w:color="auto" w:fill="FFFFFF"/>
        </w:rPr>
        <w:t>2.舞厅、KTV等歌舞娱乐场所；</w:t>
      </w:r>
    </w:p>
    <w:p>
      <w:pPr>
        <w:spacing w:line="600" w:lineRule="exact"/>
        <w:ind w:firstLine="640" w:firstLineChars="200"/>
        <w:rPr>
          <w:rFonts w:eastAsia="方正仿宋_GBK"/>
          <w:szCs w:val="32"/>
        </w:rPr>
      </w:pPr>
      <w:r>
        <w:rPr>
          <w:rFonts w:eastAsia="方正仿宋_GBK"/>
          <w:szCs w:val="32"/>
          <w:shd w:val="clear" w:color="auto" w:fill="FFFFFF"/>
        </w:rPr>
        <w:t>3.具有娱乐功能的夜总会、音乐茶座和餐饮场所；</w:t>
      </w:r>
    </w:p>
    <w:p>
      <w:pPr>
        <w:spacing w:line="600" w:lineRule="exact"/>
        <w:ind w:firstLine="640" w:firstLineChars="200"/>
        <w:rPr>
          <w:rFonts w:eastAsia="方正仿宋_GBK"/>
          <w:szCs w:val="32"/>
          <w:shd w:val="clear" w:color="auto" w:fill="FFFFFF"/>
        </w:rPr>
      </w:pPr>
      <w:r>
        <w:rPr>
          <w:rFonts w:eastAsia="方正仿宋_GBK"/>
          <w:szCs w:val="32"/>
          <w:shd w:val="clear" w:color="auto" w:fill="FFFFFF"/>
        </w:rPr>
        <w:t>4.游艺、游乐场所；</w:t>
      </w:r>
    </w:p>
    <w:p>
      <w:pPr>
        <w:spacing w:line="600" w:lineRule="exact"/>
        <w:ind w:firstLine="640" w:firstLineChars="200"/>
        <w:rPr>
          <w:rFonts w:ascii="Calibri" w:hAnsi="Calibri" w:eastAsia="宋体"/>
          <w:b/>
          <w:bCs/>
          <w:sz w:val="21"/>
          <w:szCs w:val="24"/>
        </w:rPr>
      </w:pPr>
      <w:r>
        <w:rPr>
          <w:rFonts w:eastAsia="方正仿宋_GBK"/>
          <w:szCs w:val="32"/>
          <w:shd w:val="clear" w:color="auto" w:fill="FFFFFF"/>
        </w:rPr>
        <w:t>（五）建筑面积在500平方米以上的足浴、美容院、桑拿浴室（洗浴部分面积除外）等营业性健身、休闲场所</w:t>
      </w:r>
      <w:r>
        <w:rPr>
          <w:rFonts w:eastAsia="方正仿宋_GBK"/>
          <w:b/>
          <w:bCs/>
          <w:szCs w:val="32"/>
          <w:shd w:val="clear" w:color="auto" w:fill="FFFFFF"/>
        </w:rPr>
        <w:t>。</w:t>
      </w:r>
    </w:p>
    <w:p>
      <w:pPr>
        <w:spacing w:line="600" w:lineRule="exact"/>
        <w:ind w:firstLine="640" w:firstLineChars="200"/>
        <w:rPr>
          <w:rFonts w:hint="eastAsia" w:ascii="方正黑体_GBK" w:hAnsi="方正黑体_GBK" w:eastAsia="方正黑体_GBK" w:cs="方正黑体_GBK"/>
          <w:color w:val="000000"/>
          <w:szCs w:val="32"/>
          <w:shd w:val="clear" w:color="auto" w:fill="FFFFFF"/>
        </w:rPr>
      </w:pPr>
      <w:r>
        <w:rPr>
          <w:rFonts w:hint="eastAsia" w:ascii="方正黑体_GBK" w:hAnsi="方正黑体_GBK" w:eastAsia="方正黑体_GBK" w:cs="方正黑体_GBK"/>
          <w:color w:val="000000"/>
          <w:szCs w:val="32"/>
          <w:shd w:val="clear" w:color="auto" w:fill="FFFFFF"/>
        </w:rPr>
        <w:t>二、医院、养老院和寄宿制的学校托儿所、幼儿园：</w:t>
      </w:r>
    </w:p>
    <w:p>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（一）住院床位在</w:t>
      </w:r>
      <w:r>
        <w:rPr>
          <w:rFonts w:eastAsia="方正仿宋_GBK"/>
          <w:color w:val="000000"/>
          <w:szCs w:val="32"/>
          <w:shd w:val="clear" w:color="auto" w:fill="FFFFFF"/>
        </w:rPr>
        <w:t>50</w:t>
      </w:r>
      <w:r>
        <w:rPr>
          <w:rFonts w:hint="eastAsia" w:eastAsia="方正仿宋_GBK"/>
          <w:color w:val="000000"/>
          <w:szCs w:val="32"/>
          <w:shd w:val="clear" w:color="auto" w:fill="FFFFFF"/>
        </w:rPr>
        <w:t>张以上的医疗保健机构；</w:t>
      </w:r>
    </w:p>
    <w:p>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（二）住宿床位在</w:t>
      </w:r>
      <w:r>
        <w:rPr>
          <w:rFonts w:eastAsia="方正仿宋_GBK"/>
          <w:color w:val="000000"/>
          <w:szCs w:val="32"/>
          <w:shd w:val="clear" w:color="auto" w:fill="FFFFFF"/>
        </w:rPr>
        <w:t>50</w:t>
      </w:r>
      <w:r>
        <w:rPr>
          <w:rFonts w:hint="eastAsia" w:eastAsia="方正仿宋_GBK"/>
          <w:color w:val="000000"/>
          <w:szCs w:val="32"/>
          <w:shd w:val="clear" w:color="auto" w:fill="FFFFFF"/>
        </w:rPr>
        <w:t>张以上的养老院、福利院；</w:t>
      </w:r>
    </w:p>
    <w:p>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（三）学生住宿床位在</w:t>
      </w:r>
      <w:r>
        <w:rPr>
          <w:rFonts w:eastAsia="方正仿宋_GBK"/>
          <w:color w:val="000000"/>
          <w:szCs w:val="32"/>
          <w:shd w:val="clear" w:color="auto" w:fill="FFFFFF"/>
        </w:rPr>
        <w:t>100</w:t>
      </w:r>
      <w:r>
        <w:rPr>
          <w:rFonts w:hint="eastAsia" w:eastAsia="方正仿宋_GBK"/>
          <w:color w:val="000000"/>
          <w:szCs w:val="32"/>
          <w:shd w:val="clear" w:color="auto" w:fill="FFFFFF"/>
        </w:rPr>
        <w:t>张以上的学校；</w:t>
      </w:r>
    </w:p>
    <w:p>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（四）幼儿住宿床位在</w:t>
      </w:r>
      <w:r>
        <w:rPr>
          <w:rFonts w:eastAsia="方正仿宋_GBK"/>
          <w:color w:val="000000"/>
          <w:szCs w:val="32"/>
          <w:shd w:val="clear" w:color="auto" w:fill="FFFFFF"/>
        </w:rPr>
        <w:t>50</w:t>
      </w:r>
      <w:r>
        <w:rPr>
          <w:rFonts w:hint="eastAsia" w:eastAsia="方正仿宋_GBK"/>
          <w:color w:val="000000"/>
          <w:szCs w:val="32"/>
          <w:shd w:val="clear" w:color="auto" w:fill="FFFFFF"/>
        </w:rPr>
        <w:t>张以上的托儿所、幼儿园。</w:t>
      </w:r>
    </w:p>
    <w:p>
      <w:pPr>
        <w:spacing w:line="600" w:lineRule="exact"/>
        <w:ind w:firstLine="640" w:firstLineChars="200"/>
        <w:rPr>
          <w:rFonts w:hint="eastAsia" w:ascii="方正黑体_GBK" w:hAnsi="方正黑体_GBK" w:eastAsia="方正黑体_GBK" w:cs="方正黑体_GBK"/>
          <w:color w:val="000000"/>
          <w:szCs w:val="32"/>
          <w:shd w:val="clear" w:color="auto" w:fill="FFFFFF"/>
        </w:rPr>
      </w:pPr>
      <w:r>
        <w:rPr>
          <w:rFonts w:hint="eastAsia" w:ascii="方正黑体_GBK" w:hAnsi="方正黑体_GBK" w:eastAsia="方正黑体_GBK" w:cs="方正黑体_GBK"/>
          <w:color w:val="000000"/>
          <w:szCs w:val="32"/>
          <w:shd w:val="clear" w:color="auto" w:fill="FFFFFF"/>
        </w:rPr>
        <w:t>三、国家机关：</w:t>
      </w:r>
    </w:p>
    <w:p>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（一）县级以上的党委、人大、政府、政协；</w:t>
      </w:r>
    </w:p>
    <w:p>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（二）县级以上的人民检察院、人民法院。</w:t>
      </w:r>
    </w:p>
    <w:p>
      <w:pPr>
        <w:spacing w:line="600" w:lineRule="exact"/>
        <w:ind w:firstLine="640" w:firstLineChars="200"/>
        <w:rPr>
          <w:rFonts w:hint="eastAsia" w:ascii="方正黑体_GBK" w:hAnsi="方正黑体_GBK" w:eastAsia="方正黑体_GBK" w:cs="方正黑体_GBK"/>
          <w:color w:val="000000"/>
          <w:szCs w:val="32"/>
          <w:shd w:val="clear" w:color="auto" w:fill="FFFFFF"/>
        </w:rPr>
      </w:pPr>
      <w:r>
        <w:rPr>
          <w:rFonts w:hint="eastAsia" w:ascii="方正黑体_GBK" w:hAnsi="方正黑体_GBK" w:eastAsia="方正黑体_GBK" w:cs="方正黑体_GBK"/>
          <w:color w:val="000000"/>
          <w:szCs w:val="32"/>
          <w:shd w:val="clear" w:color="auto" w:fill="FFFFFF"/>
        </w:rPr>
        <w:t>四、广播、电视和邮政、通信枢纽：</w:t>
      </w:r>
    </w:p>
    <w:p>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（一）县级以上广播电台、电视台；</w:t>
      </w:r>
    </w:p>
    <w:p>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（二）县级以上邮政、通信枢纽单位；</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（三）县级以上数据中心。</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五、客运车站、码头、民用机场：</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（一）建筑面积在</w:t>
      </w:r>
      <w:r>
        <w:rPr>
          <w:rFonts w:eastAsia="方正仿宋_GBK"/>
          <w:szCs w:val="32"/>
          <w:shd w:val="clear" w:color="auto" w:fill="FFFFFF"/>
        </w:rPr>
        <w:t>500</w:t>
      </w:r>
      <w:r>
        <w:rPr>
          <w:rFonts w:hint="eastAsia" w:eastAsia="方正仿宋_GBK"/>
          <w:szCs w:val="32"/>
          <w:shd w:val="clear" w:color="auto" w:fill="FFFFFF"/>
        </w:rPr>
        <w:t>平方米以上的客运车站侯车厅、客运码头候船厅；</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（二）民用机场航站楼。</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六、公共图书馆、展览馆、博物馆、档案馆以及具有火灾危险性的文物保护单位</w:t>
      </w:r>
      <w:r>
        <w:rPr>
          <w:rFonts w:hint="eastAsia" w:ascii="方正楷体_GBK" w:eastAsia="方正楷体_GBK"/>
          <w:b/>
          <w:bCs/>
          <w:szCs w:val="32"/>
          <w:shd w:val="clear" w:color="auto" w:fill="FFFFFF"/>
        </w:rPr>
        <w:t>、旅游景区：</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（一）建筑面积在</w:t>
      </w:r>
      <w:r>
        <w:rPr>
          <w:rFonts w:eastAsia="方正仿宋_GBK"/>
          <w:szCs w:val="32"/>
          <w:shd w:val="clear" w:color="auto" w:fill="FFFFFF"/>
        </w:rPr>
        <w:t>2000</w:t>
      </w:r>
      <w:r>
        <w:rPr>
          <w:rFonts w:hint="eastAsia" w:eastAsia="方正仿宋_GBK"/>
          <w:szCs w:val="32"/>
          <w:shd w:val="clear" w:color="auto" w:fill="FFFFFF"/>
        </w:rPr>
        <w:t>平方米以上的公共图书馆、展览馆；</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（二）公共博物馆、档案馆；</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（三）具有火灾危险性的县级以上文物保护单位；</w:t>
      </w:r>
    </w:p>
    <w:p>
      <w:pPr>
        <w:spacing w:line="600" w:lineRule="exact"/>
        <w:ind w:firstLine="643" w:firstLineChars="200"/>
        <w:rPr>
          <w:rFonts w:ascii="方正楷体_GBK" w:eastAsia="方正楷体_GBK"/>
          <w:b/>
          <w:bCs/>
          <w:szCs w:val="32"/>
          <w:shd w:val="clear" w:color="auto" w:fill="FFFFFF"/>
        </w:rPr>
      </w:pPr>
      <w:r>
        <w:rPr>
          <w:rFonts w:ascii="方正楷体_GBK" w:eastAsia="方正楷体_GBK"/>
          <w:b/>
          <w:bCs/>
          <w:szCs w:val="32"/>
          <w:shd w:val="clear" w:color="auto" w:fill="FFFFFF"/>
        </w:rPr>
        <w:t>（四）4A级以上具有建筑火灾危险性的旅游景区。</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七、发电厂（站）和电网经营企业。</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八、易燃易爆化学物品的生产、充装、储存、供应、销售单位：</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（一）生产易燃易爆化学物品的工厂；</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（二）易燃易爆气体和液体的灌装站、调压站；</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（三）储存易燃易爆化学物品的专用仓库（堆场、储罐场所）；</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（四）营业性加油站、加气站，液化石油气供应站（换瓶站）；</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（五）经营易燃易爆化学物品的化工商店；</w:t>
      </w:r>
    </w:p>
    <w:p>
      <w:pPr>
        <w:spacing w:line="600" w:lineRule="exact"/>
        <w:ind w:firstLine="640" w:firstLineChars="200"/>
        <w:rPr>
          <w:rFonts w:hint="eastAsia" w:eastAsia="方正仿宋_GBK"/>
          <w:szCs w:val="32"/>
          <w:shd w:val="clear" w:color="auto" w:fill="FFFFFF"/>
        </w:rPr>
      </w:pPr>
      <w:r>
        <w:rPr>
          <w:rFonts w:eastAsia="方正仿宋_GBK"/>
          <w:szCs w:val="32"/>
          <w:shd w:val="clear" w:color="auto" w:fill="FFFFFF"/>
        </w:rPr>
        <w:t>1.</w:t>
      </w:r>
      <w:r>
        <w:rPr>
          <w:rFonts w:hint="eastAsia" w:eastAsia="方正仿宋_GBK"/>
          <w:szCs w:val="32"/>
          <w:shd w:val="clear" w:color="auto" w:fill="FFFFFF"/>
        </w:rPr>
        <w:t>经营甲、乙类易燃易爆化学物品，站内总存量</w:t>
      </w:r>
      <w:r>
        <w:rPr>
          <w:rFonts w:eastAsia="方正仿宋_GBK"/>
          <w:szCs w:val="32"/>
          <w:shd w:val="clear" w:color="auto" w:fill="FFFFFF"/>
        </w:rPr>
        <w:t>300</w:t>
      </w:r>
      <w:r>
        <w:rPr>
          <w:rFonts w:hint="eastAsia" w:eastAsia="方正仿宋_GBK"/>
          <w:szCs w:val="32"/>
          <w:shd w:val="clear" w:color="auto" w:fill="FFFFFF"/>
        </w:rPr>
        <w:t>公斤或</w:t>
      </w:r>
      <w:r>
        <w:rPr>
          <w:rFonts w:eastAsia="方正仿宋_GBK"/>
          <w:szCs w:val="32"/>
          <w:shd w:val="clear" w:color="auto" w:fill="FFFFFF"/>
        </w:rPr>
        <w:t>5</w:t>
      </w:r>
      <w:r>
        <w:rPr>
          <w:rFonts w:hint="eastAsia" w:eastAsia="方正仿宋_GBK"/>
          <w:szCs w:val="32"/>
          <w:shd w:val="clear" w:color="auto" w:fill="FFFFFF"/>
        </w:rPr>
        <w:t>立方米以上的商店；</w:t>
      </w:r>
    </w:p>
    <w:p>
      <w:pPr>
        <w:spacing w:line="600" w:lineRule="exact"/>
        <w:ind w:firstLine="640" w:firstLineChars="200"/>
        <w:rPr>
          <w:rFonts w:hint="eastAsia" w:eastAsia="方正仿宋_GBK"/>
          <w:szCs w:val="32"/>
          <w:shd w:val="clear" w:color="auto" w:fill="FFFFFF"/>
        </w:rPr>
      </w:pPr>
      <w:r>
        <w:rPr>
          <w:rFonts w:eastAsia="方正仿宋_GBK"/>
          <w:szCs w:val="32"/>
          <w:shd w:val="clear" w:color="auto" w:fill="FFFFFF"/>
        </w:rPr>
        <w:t>2.</w:t>
      </w:r>
      <w:r>
        <w:rPr>
          <w:rFonts w:hint="eastAsia" w:eastAsia="方正仿宋_GBK"/>
          <w:szCs w:val="32"/>
          <w:shd w:val="clear" w:color="auto" w:fill="FFFFFF"/>
        </w:rPr>
        <w:t>经营甲、乙类易燃易爆化学物品营业面积在</w:t>
      </w:r>
      <w:r>
        <w:rPr>
          <w:rFonts w:eastAsia="方正仿宋_GBK"/>
          <w:szCs w:val="32"/>
          <w:shd w:val="clear" w:color="auto" w:fill="FFFFFF"/>
        </w:rPr>
        <w:t>300</w:t>
      </w:r>
      <w:r>
        <w:rPr>
          <w:rFonts w:hint="eastAsia" w:eastAsia="方正仿宋_GBK"/>
          <w:szCs w:val="32"/>
          <w:shd w:val="clear" w:color="auto" w:fill="FFFFFF"/>
        </w:rPr>
        <w:t>平方米以上的商店。</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九、劳动密集型生产、加工企业：</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（一）单个生产车间员工在</w:t>
      </w:r>
      <w:r>
        <w:rPr>
          <w:rFonts w:eastAsia="方正仿宋_GBK"/>
          <w:szCs w:val="32"/>
          <w:shd w:val="clear" w:color="auto" w:fill="FFFFFF"/>
        </w:rPr>
        <w:t>100</w:t>
      </w:r>
      <w:r>
        <w:rPr>
          <w:rFonts w:hint="eastAsia" w:eastAsia="方正仿宋_GBK"/>
          <w:szCs w:val="32"/>
          <w:shd w:val="clear" w:color="auto" w:fill="FFFFFF"/>
        </w:rPr>
        <w:t>人以上的服装、鞋帽、玩具、食品等劳动密集型企业；</w:t>
      </w:r>
    </w:p>
    <w:p>
      <w:pPr>
        <w:spacing w:line="600" w:lineRule="exact"/>
        <w:ind w:firstLine="643" w:firstLineChars="200"/>
        <w:rPr>
          <w:rFonts w:ascii="方正楷体_GBK" w:eastAsia="方正楷体_GBK"/>
          <w:b/>
          <w:bCs/>
          <w:szCs w:val="32"/>
          <w:shd w:val="clear" w:color="auto" w:fill="FFFFFF"/>
        </w:rPr>
      </w:pPr>
      <w:r>
        <w:rPr>
          <w:rFonts w:ascii="方正楷体_GBK" w:eastAsia="方正楷体_GBK"/>
          <w:b/>
          <w:bCs/>
          <w:szCs w:val="32"/>
          <w:shd w:val="clear" w:color="auto" w:fill="FFFFFF"/>
        </w:rPr>
        <w:t>（二）同一建筑内存在多个服装、鞋帽、玩具、木制品、家具、塑料、食品加工、纺织、印染、印刷产品等企业且生产车间员工总人数在100人以上的建筑产权或管理单位。</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十、国家和省级科研单位。</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十一、高层公共建筑、地下铁道、地下观光隧道，粮、棉、木材、百货等物资仓库和堆场，重点工程的施工现场：</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（一）高层公共建筑建筑高度在</w:t>
      </w:r>
      <w:r>
        <w:rPr>
          <w:rFonts w:eastAsia="方正仿宋_GBK"/>
          <w:szCs w:val="32"/>
          <w:shd w:val="clear" w:color="auto" w:fill="FFFFFF"/>
        </w:rPr>
        <w:t>50</w:t>
      </w:r>
      <w:r>
        <w:rPr>
          <w:rFonts w:hint="eastAsia" w:eastAsia="方正仿宋_GBK"/>
          <w:szCs w:val="32"/>
          <w:shd w:val="clear" w:color="auto" w:fill="FFFFFF"/>
        </w:rPr>
        <w:t>米以上的办公楼（写字楼）、公寓楼等；</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（二）城市地下铁道、地下观光隧道等地下公共建筑和城市重要的交通隧道；</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（三）国家储备粮库、总储量在</w:t>
      </w:r>
      <w:r>
        <w:rPr>
          <w:rFonts w:eastAsia="方正仿宋_GBK"/>
          <w:szCs w:val="32"/>
          <w:shd w:val="clear" w:color="auto" w:fill="FFFFFF"/>
        </w:rPr>
        <w:t>10000</w:t>
      </w:r>
      <w:r>
        <w:rPr>
          <w:rFonts w:hint="eastAsia" w:eastAsia="方正仿宋_GBK"/>
          <w:szCs w:val="32"/>
          <w:shd w:val="clear" w:color="auto" w:fill="FFFFFF"/>
        </w:rPr>
        <w:t>吨以上的其他粮库；</w:t>
      </w:r>
    </w:p>
    <w:p>
      <w:pPr>
        <w:spacing w:line="600" w:lineRule="exact"/>
        <w:ind w:firstLine="640" w:firstLineChars="200"/>
        <w:rPr>
          <w:rFonts w:ascii="Calibri" w:hAnsi="Calibri" w:eastAsia="宋体"/>
          <w:b/>
          <w:bCs/>
          <w:sz w:val="21"/>
          <w:szCs w:val="24"/>
        </w:rPr>
      </w:pPr>
      <w:r>
        <w:rPr>
          <w:rFonts w:hint="eastAsia" w:eastAsia="方正仿宋_GBK"/>
          <w:szCs w:val="32"/>
          <w:shd w:val="clear" w:color="auto" w:fill="FFFFFF"/>
        </w:rPr>
        <w:t>（四）总储量在</w:t>
      </w:r>
      <w:r>
        <w:rPr>
          <w:rFonts w:eastAsia="方正仿宋_GBK"/>
          <w:szCs w:val="32"/>
          <w:shd w:val="clear" w:color="auto" w:fill="FFFFFF"/>
        </w:rPr>
        <w:t>500</w:t>
      </w:r>
      <w:r>
        <w:rPr>
          <w:rFonts w:hint="eastAsia" w:eastAsia="方正仿宋_GBK"/>
          <w:szCs w:val="32"/>
          <w:shd w:val="clear" w:color="auto" w:fill="FFFFFF"/>
        </w:rPr>
        <w:t>吨以上的棉库；</w:t>
      </w:r>
      <w:r>
        <w:rPr>
          <w:rFonts w:eastAsia="方正仿宋_GBK"/>
          <w:szCs w:val="32"/>
          <w:shd w:val="clear" w:color="auto" w:fill="FFFFFF"/>
        </w:rPr>
        <w:br w:type="textWrapping"/>
      </w:r>
      <w:r>
        <w:rPr>
          <w:rFonts w:hint="eastAsia" w:eastAsia="方正仿宋_GBK"/>
          <w:szCs w:val="32"/>
          <w:shd w:val="clear" w:color="auto" w:fill="FFFFFF"/>
        </w:rPr>
        <w:t xml:space="preserve">    （五）总储量在</w:t>
      </w:r>
      <w:r>
        <w:rPr>
          <w:rFonts w:eastAsia="方正仿宋_GBK"/>
          <w:szCs w:val="32"/>
          <w:shd w:val="clear" w:color="auto" w:fill="FFFFFF"/>
        </w:rPr>
        <w:t>10000</w:t>
      </w:r>
      <w:r>
        <w:rPr>
          <w:rFonts w:hint="eastAsia" w:eastAsia="方正仿宋_GBK"/>
          <w:szCs w:val="32"/>
          <w:shd w:val="clear" w:color="auto" w:fill="FFFFFF"/>
        </w:rPr>
        <w:t>立方米以上的木材堆场；</w:t>
      </w:r>
      <w:r>
        <w:rPr>
          <w:rFonts w:eastAsia="方正仿宋_GBK"/>
          <w:szCs w:val="32"/>
          <w:shd w:val="clear" w:color="auto" w:fill="FFFFFF"/>
        </w:rPr>
        <w:br w:type="textWrapping"/>
      </w:r>
      <w:r>
        <w:rPr>
          <w:rFonts w:hint="eastAsia" w:eastAsia="方正仿宋_GBK"/>
          <w:szCs w:val="32"/>
          <w:shd w:val="clear" w:color="auto" w:fill="FFFFFF"/>
        </w:rPr>
        <w:t xml:space="preserve">    （六）总储存价值在</w:t>
      </w:r>
      <w:r>
        <w:rPr>
          <w:rFonts w:eastAsia="方正仿宋_GBK"/>
          <w:szCs w:val="32"/>
          <w:shd w:val="clear" w:color="auto" w:fill="FFFFFF"/>
        </w:rPr>
        <w:t>5000</w:t>
      </w:r>
      <w:r>
        <w:rPr>
          <w:rFonts w:hint="eastAsia" w:eastAsia="方正仿宋_GBK"/>
          <w:szCs w:val="32"/>
          <w:shd w:val="clear" w:color="auto" w:fill="FFFFFF"/>
        </w:rPr>
        <w:t>万元以上的可燃物品仓库、堆场；</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（七）国家和省级等重点建筑工程的施工现场。</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十二、锂电池生产、储存单位及电化学储能单位：</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（一）产能在200MWH及以上的锂电池生产单位；</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（二）总储量在30MWH及以上的锂电池储存单位；</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（三）功率为30MW且容量为30MW·h及以上的电化学储能电站。</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十三、其他业态生产经营场所：</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（一）建筑面积在500平方米以上的剧本杀、密室逃脱等剧本娱乐经营场所；</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（二）建筑面积在1000平方米以上的室内冰雪活动场所；</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（三）住宿床位在50张以上的月子中心等孕婴服务场所；</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（四）存储型物流建筑单体面积在5000平方米以上，作业型物流建筑、综合型物流建筑单体面积在10000平方米以上的企业。</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十四、其他发生火灾可能性较大以及一旦发生火灾可能造成人身重大伤亡或者财产重大损失的单位。</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说明：</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1.一个物业小区内有多栋高层公寓等建筑物且同属一个产权单位或物业管理单位的，可视为一个消防安全重点单位。</w:t>
      </w:r>
    </w:p>
    <w:p>
      <w:pPr>
        <w:spacing w:line="600" w:lineRule="exact"/>
        <w:ind w:firstLine="640" w:firstLineChars="200"/>
        <w:rPr>
          <w:rFonts w:eastAsia="方正仿宋_GBK"/>
          <w:szCs w:val="32"/>
          <w:shd w:val="clear" w:color="auto" w:fill="FFFFFF"/>
        </w:rPr>
      </w:pPr>
      <w:r>
        <w:rPr>
          <w:rFonts w:hint="eastAsia" w:eastAsia="方正仿宋_GBK"/>
          <w:szCs w:val="32"/>
          <w:shd w:val="clear" w:color="auto" w:fill="FFFFFF"/>
        </w:rPr>
        <w:t>2.在一个符合界定标准的单位或建筑物内另有符合界定标准而法人不同的单位，可视为不同的消防安全重点单位，法人相同但多家承包、租赁的可视为一个消防安全重点单位。</w:t>
      </w:r>
    </w:p>
    <w:p>
      <w:pPr>
        <w:spacing w:line="600" w:lineRule="exact"/>
        <w:ind w:firstLine="640" w:firstLineChars="200"/>
        <w:rPr>
          <w:rFonts w:eastAsia="方正仿宋_GBK"/>
          <w:color w:val="000000"/>
          <w:szCs w:val="32"/>
          <w:shd w:val="clear" w:color="auto" w:fill="FFFFFF"/>
        </w:rPr>
      </w:pPr>
      <w:r>
        <w:rPr>
          <w:rFonts w:eastAsia="方正仿宋_GBK"/>
          <w:color w:val="000000"/>
          <w:szCs w:val="32"/>
          <w:shd w:val="clear" w:color="auto" w:fill="FFFFFF"/>
        </w:rPr>
        <w:t>3.方正楷体加粗内容为《</w:t>
      </w:r>
      <w:r>
        <w:rPr>
          <w:rFonts w:hint="eastAsia" w:eastAsia="方正仿宋_GBK"/>
          <w:color w:val="000000"/>
          <w:szCs w:val="32"/>
          <w:shd w:val="clear" w:color="auto" w:fill="FFFFFF"/>
        </w:rPr>
        <w:t>关于将有关场所和单位纳入消防安全重点单位界定标准的通知》（豫消〔2023〕90号）和</w:t>
      </w:r>
      <w:r>
        <w:rPr>
          <w:rFonts w:eastAsia="方正仿宋_GBK"/>
          <w:color w:val="000000"/>
          <w:szCs w:val="32"/>
          <w:shd w:val="clear" w:color="auto" w:fill="FFFFFF"/>
        </w:rPr>
        <w:t>本文在原消防安全重点单位界定标准的基础上增加和调整的场所及单位，</w:t>
      </w:r>
      <w:r>
        <w:rPr>
          <w:rFonts w:hint="eastAsia" w:eastAsia="方正仿宋_GBK"/>
          <w:color w:val="000000"/>
          <w:szCs w:val="32"/>
          <w:shd w:val="clear" w:color="auto" w:fill="FFFFFF"/>
        </w:rPr>
        <w:t>按规定程序确定为消防安全重点单位后</w:t>
      </w:r>
      <w:r>
        <w:rPr>
          <w:rFonts w:eastAsia="方正仿宋_GBK"/>
          <w:color w:val="000000"/>
          <w:szCs w:val="32"/>
          <w:shd w:val="clear" w:color="auto" w:fill="FFFFFF"/>
        </w:rPr>
        <w:t>由消防救援部门</w:t>
      </w:r>
      <w:r>
        <w:rPr>
          <w:rFonts w:hint="eastAsia" w:eastAsia="方正仿宋_GBK"/>
          <w:color w:val="000000"/>
          <w:szCs w:val="32"/>
          <w:shd w:val="clear" w:color="auto" w:fill="FFFFFF"/>
        </w:rPr>
        <w:t>监管；</w:t>
      </w:r>
      <w:r>
        <w:rPr>
          <w:rFonts w:eastAsia="方正仿宋_GBK"/>
          <w:color w:val="000000"/>
          <w:szCs w:val="32"/>
          <w:shd w:val="clear" w:color="auto" w:fill="FFFFFF"/>
        </w:rPr>
        <w:t>原界定标准中的场所</w:t>
      </w:r>
      <w:r>
        <w:rPr>
          <w:rFonts w:hint="eastAsia" w:eastAsia="方正仿宋_GBK"/>
          <w:color w:val="000000"/>
          <w:szCs w:val="32"/>
          <w:shd w:val="clear" w:color="auto" w:fill="FFFFFF"/>
        </w:rPr>
        <w:t>和单位</w:t>
      </w:r>
      <w:r>
        <w:rPr>
          <w:rFonts w:eastAsia="方正仿宋_GBK"/>
          <w:color w:val="000000"/>
          <w:szCs w:val="32"/>
          <w:shd w:val="clear" w:color="auto" w:fill="FFFFFF"/>
        </w:rPr>
        <w:t>仍按照三级管理权限分级监管。</w:t>
      </w:r>
    </w:p>
    <w:p>
      <w:pPr>
        <w:widowControl/>
        <w:topLinePunct/>
        <w:spacing w:line="579" w:lineRule="exact"/>
        <w:ind w:firstLine="64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B5456"/>
    <w:rsid w:val="0B5D1841"/>
    <w:rsid w:val="0E2C5776"/>
    <w:rsid w:val="1AEE3C6B"/>
    <w:rsid w:val="24A56340"/>
    <w:rsid w:val="34536582"/>
    <w:rsid w:val="3DB50190"/>
    <w:rsid w:val="51BB5456"/>
    <w:rsid w:val="5C003661"/>
    <w:rsid w:val="7E5A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2025-03-24T03:48:00Z</dcterms:created>
  <dc:creator>Administrator</dc:creator>
  <cp:lastModifiedBy>Administrator</cp:lastModifiedBy>
  <dcterms:modified xsi:type="dcterms:W3CDTF">2026-03-09T01:45:51Z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8AF9848D646B4EAA8EF57E4CE40D912A_11</vt:lpwstr>
  </property>
  <property fmtid="{D5CDD505-2E9C-101B-9397-08002B2CF9AE}" pid="4" name="KSOTemplateDocerSaveRecord">
    <vt:lpwstr>eyJoZGlkIjoiNmMzNzZmNzFhNmU1MDZlZDk1OGFiOWZlNGFiNjM4ZmMifQ==</vt:lpwstr>
  </property>
</Properties>
</file>