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lang w:val="en-US" w:eastAsia="zh-CN"/>
        </w:rPr>
        <w:t>2021</w:t>
      </w:r>
      <w:r>
        <w:rPr>
          <w:rFonts w:hint="eastAsia" w:ascii="方正小标宋简体" w:hAnsi="方正小标宋简体" w:eastAsia="方正小标宋简体" w:cs="方正小标宋简体"/>
          <w:b w:val="0"/>
          <w:bCs/>
          <w:sz w:val="44"/>
          <w:szCs w:val="44"/>
        </w:rPr>
        <w:t>年</w:t>
      </w:r>
      <w:r>
        <w:rPr>
          <w:rFonts w:hint="eastAsia" w:ascii="方正小标宋简体" w:hAnsi="方正小标宋简体" w:eastAsia="方正小标宋简体" w:cs="方正小标宋简体"/>
          <w:b w:val="0"/>
          <w:bCs/>
          <w:sz w:val="44"/>
          <w:szCs w:val="44"/>
          <w:lang w:eastAsia="zh-CN"/>
        </w:rPr>
        <w:t>度</w:t>
      </w:r>
      <w:r>
        <w:rPr>
          <w:rFonts w:hint="eastAsia" w:ascii="方正小标宋简体" w:hAnsi="方正小标宋简体" w:eastAsia="方正小标宋简体" w:cs="方正小标宋简体"/>
          <w:b w:val="0"/>
          <w:bCs/>
          <w:sz w:val="44"/>
          <w:szCs w:val="44"/>
        </w:rPr>
        <w:t>红旗区</w:t>
      </w:r>
      <w:r>
        <w:rPr>
          <w:rFonts w:hint="eastAsia" w:ascii="方正小标宋简体" w:hAnsi="方正小标宋简体" w:eastAsia="方正小标宋简体" w:cs="方正小标宋简体"/>
          <w:b w:val="0"/>
          <w:bCs/>
          <w:sz w:val="44"/>
          <w:szCs w:val="44"/>
          <w:lang w:eastAsia="zh-CN"/>
        </w:rPr>
        <w:t>公开重大政策</w:t>
      </w:r>
    </w:p>
    <w:p>
      <w:pPr>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和重点项目绩效执行结果情况说明</w:t>
      </w:r>
    </w:p>
    <w:p>
      <w:pPr>
        <w:adjustRightInd w:val="0"/>
        <w:snapToGrid w:val="0"/>
        <w:spacing w:line="570" w:lineRule="exact"/>
        <w:ind w:firstLine="643" w:firstLineChars="200"/>
        <w:rPr>
          <w:rFonts w:hint="eastAsia" w:ascii="仿宋_GB2312" w:eastAsia="仿宋_GB2312"/>
          <w:b/>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rPr>
          <w:rFonts w:hint="eastAsia" w:ascii="楷体_GB2312" w:hAnsi="楷体_GB2312" w:eastAsia="楷体_GB2312" w:cs="楷体_GB2312"/>
          <w:b/>
          <w:bCs/>
          <w:color w:val="000000"/>
          <w:sz w:val="32"/>
          <w:szCs w:val="32"/>
          <w:lang w:val="en-US" w:eastAsia="zh-CN"/>
        </w:rPr>
      </w:pPr>
      <w:r>
        <w:rPr>
          <w:rFonts w:hint="eastAsia" w:ascii="楷体_GB2312" w:hAnsi="楷体_GB2312" w:eastAsia="楷体_GB2312" w:cs="楷体_GB2312"/>
          <w:b/>
          <w:bCs/>
          <w:color w:val="000000"/>
          <w:sz w:val="32"/>
          <w:szCs w:val="32"/>
          <w:lang w:val="en-US" w:eastAsia="zh-CN"/>
        </w:rPr>
        <w:t>（一）多措并举聚财力，财政收支保持平稳增长</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000000"/>
          <w:sz w:val="32"/>
          <w:szCs w:val="32"/>
          <w:lang w:val="en-US" w:eastAsia="zh-CN"/>
        </w:rPr>
        <w:t>一是强化收入征管。努力克服减税降费、新冠肺炎疫情、洪涝灾害、“六稳”“六保”刚性支出等因素影响，财政部门加强部门联动，做好税源分析，狠抓收入征管，圆满完成全区一般公共预算收入目标。二是积极向上争取资金。紧盯政策资金投向，全面梳理发债需求，大力推进新增债券申报工作，2021年全区新发行地方政府债券</w:t>
      </w:r>
      <w:r>
        <w:rPr>
          <w:rFonts w:hint="eastAsia" w:ascii="仿宋_GB2312" w:eastAsia="仿宋_GB2312"/>
          <w:color w:val="000000"/>
          <w:kern w:val="0"/>
          <w:sz w:val="32"/>
          <w:szCs w:val="32"/>
          <w:lang w:val="en-US" w:eastAsia="zh-CN"/>
        </w:rPr>
        <w:t>4.69亿元</w:t>
      </w:r>
      <w:r>
        <w:rPr>
          <w:rFonts w:hint="eastAsia" w:ascii="仿宋_GB2312" w:hAnsi="仿宋_GB2312" w:eastAsia="仿宋_GB2312" w:cs="仿宋_GB2312"/>
          <w:b w:val="0"/>
          <w:bCs w:val="0"/>
          <w:color w:val="000000"/>
          <w:sz w:val="32"/>
          <w:szCs w:val="32"/>
          <w:lang w:val="en-US" w:eastAsia="zh-CN"/>
        </w:rPr>
        <w:t>，其中新增一般债券0.6亿元，新增专项债券4.09亿元，</w:t>
      </w:r>
      <w:r>
        <w:rPr>
          <w:rFonts w:hint="eastAsia" w:ascii="仿宋_GB2312" w:hAnsi="Calibri" w:eastAsia="仿宋_GB2312" w:cs="Times New Roman"/>
          <w:b w:val="0"/>
          <w:bCs w:val="0"/>
          <w:color w:val="auto"/>
          <w:spacing w:val="-10"/>
          <w:sz w:val="32"/>
          <w:szCs w:val="32"/>
          <w:lang w:val="en-US" w:eastAsia="zh-CN"/>
        </w:rPr>
        <w:t>在全市十三个发行专项债券县（市）、区中排名第七，在四个建制区中排名第一</w:t>
      </w:r>
      <w:r>
        <w:rPr>
          <w:rFonts w:hint="eastAsia" w:ascii="仿宋_GB2312" w:hAnsi="仿宋_GB2312" w:eastAsia="仿宋_GB2312" w:cs="仿宋_GB2312"/>
          <w:b w:val="0"/>
          <w:bCs w:val="0"/>
          <w:color w:val="auto"/>
          <w:sz w:val="32"/>
          <w:szCs w:val="32"/>
          <w:lang w:val="en-US" w:eastAsia="zh-CN"/>
        </w:rPr>
        <w:t>。三是盘活财政存量资金。为平衡财政收支压力，财政部门积极采取措施，2021年收回各类结余和沉淀闲置结转资金2922万元。四是加强预算评审力度。2021年共完成预算评审项目64个，送审金额32617万元，审定金额29937万元，审增金额136.1万元，审减金额2815万元。节约财政资金2679万元，审减率8.21%。</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rPr>
          <w:rFonts w:hint="eastAsia" w:ascii="楷体_GB2312" w:hAnsi="楷体_GB2312" w:eastAsia="楷体_GB2312" w:cs="楷体_GB2312"/>
          <w:b/>
          <w:bCs/>
          <w:color w:val="000000"/>
          <w:sz w:val="32"/>
          <w:szCs w:val="32"/>
          <w:lang w:val="en-US" w:eastAsia="zh-CN"/>
        </w:rPr>
      </w:pPr>
      <w:r>
        <w:rPr>
          <w:rFonts w:hint="eastAsia" w:ascii="楷体_GB2312" w:hAnsi="楷体_GB2312" w:eastAsia="楷体_GB2312" w:cs="楷体_GB2312"/>
          <w:b/>
          <w:bCs/>
          <w:color w:val="000000"/>
          <w:sz w:val="32"/>
          <w:szCs w:val="32"/>
          <w:lang w:val="en-US" w:eastAsia="zh-CN"/>
        </w:rPr>
        <w:t>（二）坚持人民至上，全力支持防汛救灾和灾后重建</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“7.20洪涝灾害”给我</w:t>
      </w:r>
      <w:r>
        <w:rPr>
          <w:rFonts w:hint="eastAsia" w:ascii="仿宋_GB2312" w:hAnsi="仿宋_GB2312" w:eastAsia="仿宋_GB2312" w:cs="仿宋_GB2312"/>
          <w:color w:val="000000"/>
          <w:sz w:val="32"/>
          <w:szCs w:val="32"/>
          <w:lang w:val="en-US" w:eastAsia="zh-CN"/>
        </w:rPr>
        <w:t>区</w:t>
      </w:r>
      <w:r>
        <w:rPr>
          <w:rFonts w:hint="eastAsia" w:ascii="仿宋_GB2312" w:hAnsi="仿宋_GB2312" w:eastAsia="仿宋_GB2312" w:cs="仿宋_GB2312"/>
          <w:color w:val="000000"/>
          <w:sz w:val="32"/>
          <w:szCs w:val="32"/>
        </w:rPr>
        <w:t>人民群众和经济社会发展造成了严重损失，</w:t>
      </w:r>
      <w:r>
        <w:rPr>
          <w:rFonts w:hint="eastAsia" w:ascii="仿宋_GB2312" w:hAnsi="仿宋_GB2312" w:eastAsia="仿宋_GB2312" w:cs="仿宋_GB2312"/>
          <w:color w:val="000000"/>
          <w:sz w:val="32"/>
          <w:szCs w:val="32"/>
          <w:lang w:val="en-US" w:eastAsia="zh-CN"/>
        </w:rPr>
        <w:t>区财政局</w:t>
      </w:r>
      <w:r>
        <w:rPr>
          <w:rFonts w:hint="eastAsia" w:ascii="仿宋_GB2312" w:hAnsi="仿宋_GB2312" w:eastAsia="仿宋_GB2312" w:cs="仿宋_GB2312"/>
          <w:color w:val="000000"/>
          <w:sz w:val="32"/>
          <w:szCs w:val="32"/>
        </w:rPr>
        <w:t>牢固树立“人民至上、生命至上”理念，</w:t>
      </w:r>
      <w:r>
        <w:rPr>
          <w:rFonts w:hint="eastAsia" w:ascii="仿宋_GB2312" w:hAnsi="仿宋_GB2312" w:eastAsia="仿宋_GB2312" w:cs="仿宋_GB2312"/>
          <w:color w:val="000000"/>
          <w:sz w:val="32"/>
          <w:szCs w:val="32"/>
          <w:lang w:val="en-US" w:eastAsia="zh-CN"/>
        </w:rPr>
        <w:t>建立救灾资金拨付“绿色通道”，将救灾及重建资金共2152万元落实到户、落实到人、落实到具体项目。</w:t>
      </w:r>
    </w:p>
    <w:p>
      <w:pPr>
        <w:keepNext w:val="0"/>
        <w:keepLines w:val="0"/>
        <w:pageBreakBefore w:val="0"/>
        <w:widowControl w:val="0"/>
        <w:kinsoku/>
        <w:wordWrap/>
        <w:overflowPunct/>
        <w:topLinePunct w:val="0"/>
        <w:autoSpaceDE/>
        <w:autoSpaceDN/>
        <w:bidi w:val="0"/>
        <w:adjustRightInd w:val="0"/>
        <w:snapToGrid w:val="0"/>
        <w:spacing w:line="600" w:lineRule="exact"/>
        <w:ind w:firstLine="603" w:firstLineChars="200"/>
        <w:rPr>
          <w:rFonts w:hint="eastAsia" w:ascii="楷体_GB2312" w:hAnsi="楷体_GB2312" w:eastAsia="楷体_GB2312" w:cs="楷体_GB2312"/>
          <w:b/>
          <w:bCs/>
          <w:color w:val="auto"/>
          <w:spacing w:val="-10"/>
          <w:sz w:val="32"/>
          <w:szCs w:val="32"/>
          <w:lang w:val="en-US" w:eastAsia="zh-CN"/>
        </w:rPr>
      </w:pPr>
      <w:r>
        <w:rPr>
          <w:rFonts w:hint="eastAsia" w:ascii="楷体_GB2312" w:hAnsi="楷体_GB2312" w:eastAsia="楷体_GB2312" w:cs="楷体_GB2312"/>
          <w:b/>
          <w:bCs/>
          <w:color w:val="auto"/>
          <w:spacing w:val="-10"/>
          <w:sz w:val="32"/>
          <w:szCs w:val="32"/>
          <w:lang w:val="en-US" w:eastAsia="zh-CN"/>
        </w:rPr>
        <w:t>（三）乡村振兴促发展，脱贫攻坚成果更加稳固</w:t>
      </w:r>
    </w:p>
    <w:p>
      <w:pPr>
        <w:keepNext w:val="0"/>
        <w:keepLines w:val="0"/>
        <w:pageBreakBefore w:val="0"/>
        <w:widowControl w:val="0"/>
        <w:kinsoku/>
        <w:wordWrap/>
        <w:overflowPunct/>
        <w:topLinePunct w:val="0"/>
        <w:autoSpaceDE/>
        <w:autoSpaceDN/>
        <w:bidi w:val="0"/>
        <w:adjustRightInd w:val="0"/>
        <w:snapToGrid w:val="0"/>
        <w:spacing w:line="600" w:lineRule="exact"/>
        <w:ind w:firstLine="600" w:firstLineChars="200"/>
        <w:rPr>
          <w:rFonts w:hint="eastAsia" w:ascii="仿宋_GB2312" w:hAnsi="仿宋_GB2312" w:eastAsia="仿宋_GB2312" w:cs="仿宋_GB2312"/>
          <w:color w:val="000000"/>
          <w:sz w:val="32"/>
          <w:szCs w:val="32"/>
          <w:lang w:val="en-US" w:eastAsia="zh-CN"/>
        </w:rPr>
      </w:pPr>
      <w:r>
        <w:rPr>
          <w:rFonts w:hint="default" w:ascii="仿宋_GB2312" w:hAnsi="仿宋_GB2312" w:eastAsia="仿宋_GB2312" w:cs="仿宋_GB2312"/>
          <w:b w:val="0"/>
          <w:bCs w:val="0"/>
          <w:color w:val="auto"/>
          <w:spacing w:val="-10"/>
          <w:sz w:val="32"/>
          <w:szCs w:val="32"/>
          <w:lang w:val="en-US" w:eastAsia="zh-CN"/>
        </w:rPr>
        <w:t>2021年</w:t>
      </w:r>
      <w:r>
        <w:rPr>
          <w:rFonts w:hint="eastAsia" w:ascii="仿宋_GB2312" w:hAnsi="仿宋_GB2312" w:eastAsia="仿宋_GB2312" w:cs="仿宋_GB2312"/>
          <w:b w:val="0"/>
          <w:bCs w:val="0"/>
          <w:color w:val="auto"/>
          <w:spacing w:val="-10"/>
          <w:sz w:val="32"/>
          <w:szCs w:val="32"/>
          <w:lang w:val="en-US" w:eastAsia="zh-CN"/>
        </w:rPr>
        <w:t>区级安排脱贫攻坚与乡村振兴有效</w:t>
      </w:r>
      <w:r>
        <w:rPr>
          <w:rFonts w:hint="default" w:ascii="仿宋_GB2312" w:hAnsi="仿宋_GB2312" w:eastAsia="仿宋_GB2312" w:cs="仿宋_GB2312"/>
          <w:b w:val="0"/>
          <w:bCs w:val="0"/>
          <w:color w:val="auto"/>
          <w:spacing w:val="-10"/>
          <w:sz w:val="32"/>
          <w:szCs w:val="32"/>
          <w:lang w:val="en-US" w:eastAsia="zh-CN"/>
        </w:rPr>
        <w:t>衔接资金702万元</w:t>
      </w:r>
      <w:r>
        <w:rPr>
          <w:rFonts w:hint="eastAsia" w:ascii="仿宋_GB2312" w:hAnsi="仿宋_GB2312" w:eastAsia="仿宋_GB2312" w:cs="仿宋_GB2312"/>
          <w:b w:val="0"/>
          <w:bCs w:val="0"/>
          <w:color w:val="auto"/>
          <w:spacing w:val="-10"/>
          <w:sz w:val="32"/>
          <w:szCs w:val="32"/>
          <w:lang w:val="en-US" w:eastAsia="zh-CN"/>
        </w:rPr>
        <w:t>，争取</w:t>
      </w:r>
      <w:r>
        <w:rPr>
          <w:rFonts w:hint="default" w:ascii="仿宋_GB2312" w:hAnsi="仿宋_GB2312" w:eastAsia="仿宋_GB2312" w:cs="仿宋_GB2312"/>
          <w:b w:val="0"/>
          <w:bCs w:val="0"/>
          <w:color w:val="auto"/>
          <w:spacing w:val="-10"/>
          <w:sz w:val="32"/>
          <w:szCs w:val="32"/>
          <w:lang w:val="en-US" w:eastAsia="zh-CN"/>
        </w:rPr>
        <w:t>耕地地力保护补贴</w:t>
      </w:r>
      <w:r>
        <w:rPr>
          <w:rFonts w:hint="eastAsia" w:ascii="仿宋_GB2312" w:hAnsi="仿宋_GB2312" w:eastAsia="仿宋_GB2312" w:cs="仿宋_GB2312"/>
          <w:b w:val="0"/>
          <w:bCs w:val="0"/>
          <w:color w:val="auto"/>
          <w:spacing w:val="-10"/>
          <w:sz w:val="32"/>
          <w:szCs w:val="32"/>
          <w:lang w:val="en-US" w:eastAsia="zh-CN"/>
        </w:rPr>
        <w:t>上级</w:t>
      </w:r>
      <w:r>
        <w:rPr>
          <w:rFonts w:hint="default" w:ascii="仿宋_GB2312" w:hAnsi="仿宋_GB2312" w:eastAsia="仿宋_GB2312" w:cs="仿宋_GB2312"/>
          <w:b w:val="0"/>
          <w:bCs w:val="0"/>
          <w:color w:val="auto"/>
          <w:spacing w:val="-10"/>
          <w:sz w:val="32"/>
          <w:szCs w:val="32"/>
          <w:lang w:val="en-US" w:eastAsia="zh-CN"/>
        </w:rPr>
        <w:t>资金283万元</w:t>
      </w:r>
      <w:r>
        <w:rPr>
          <w:rFonts w:hint="eastAsia" w:ascii="仿宋_GB2312" w:hAnsi="仿宋_GB2312" w:eastAsia="仿宋_GB2312" w:cs="仿宋_GB2312"/>
          <w:b w:val="0"/>
          <w:bCs w:val="0"/>
          <w:color w:val="auto"/>
          <w:spacing w:val="-10"/>
          <w:sz w:val="32"/>
          <w:szCs w:val="32"/>
          <w:lang w:val="en-US" w:eastAsia="zh-CN"/>
        </w:rPr>
        <w:t>，争取</w:t>
      </w:r>
      <w:r>
        <w:rPr>
          <w:rFonts w:hint="default" w:ascii="仿宋_GB2312" w:hAnsi="仿宋_GB2312" w:eastAsia="仿宋_GB2312" w:cs="仿宋_GB2312"/>
          <w:b w:val="0"/>
          <w:bCs w:val="0"/>
          <w:color w:val="auto"/>
          <w:spacing w:val="-10"/>
          <w:sz w:val="32"/>
          <w:szCs w:val="32"/>
          <w:lang w:val="en-US" w:eastAsia="zh-CN"/>
        </w:rPr>
        <w:t>种粮农民一次性补贴</w:t>
      </w:r>
      <w:r>
        <w:rPr>
          <w:rFonts w:hint="eastAsia" w:ascii="仿宋_GB2312" w:hAnsi="仿宋_GB2312" w:eastAsia="仿宋_GB2312" w:cs="仿宋_GB2312"/>
          <w:b w:val="0"/>
          <w:bCs w:val="0"/>
          <w:color w:val="auto"/>
          <w:spacing w:val="-10"/>
          <w:sz w:val="32"/>
          <w:szCs w:val="32"/>
          <w:lang w:val="en-US" w:eastAsia="zh-CN"/>
        </w:rPr>
        <w:t>上级</w:t>
      </w:r>
      <w:r>
        <w:rPr>
          <w:rFonts w:hint="default" w:ascii="仿宋_GB2312" w:hAnsi="仿宋_GB2312" w:eastAsia="仿宋_GB2312" w:cs="仿宋_GB2312"/>
          <w:b w:val="0"/>
          <w:bCs w:val="0"/>
          <w:color w:val="auto"/>
          <w:spacing w:val="-10"/>
          <w:sz w:val="32"/>
          <w:szCs w:val="32"/>
          <w:lang w:val="en-US" w:eastAsia="zh-CN"/>
        </w:rPr>
        <w:t>资金108万元。</w:t>
      </w:r>
      <w:r>
        <w:rPr>
          <w:rFonts w:hint="eastAsia" w:ascii="仿宋_GB2312" w:hAnsi="仿宋_GB2312" w:eastAsia="仿宋_GB2312" w:cs="仿宋_GB2312"/>
          <w:b w:val="0"/>
          <w:bCs w:val="0"/>
          <w:color w:val="auto"/>
          <w:spacing w:val="-10"/>
          <w:sz w:val="32"/>
          <w:szCs w:val="32"/>
          <w:lang w:val="en-US" w:eastAsia="zh-CN"/>
        </w:rPr>
        <w:t>落实</w:t>
      </w:r>
      <w:r>
        <w:rPr>
          <w:rFonts w:hint="default" w:ascii="仿宋_GB2312" w:hAnsi="仿宋_GB2312" w:eastAsia="仿宋_GB2312" w:cs="仿宋_GB2312"/>
          <w:b w:val="0"/>
          <w:bCs w:val="0"/>
          <w:color w:val="auto"/>
          <w:spacing w:val="-10"/>
          <w:sz w:val="32"/>
          <w:szCs w:val="32"/>
          <w:lang w:val="en-US" w:eastAsia="zh-CN"/>
        </w:rPr>
        <w:t>农村公益事业项目。2021年我区农村公益事业项目通过“四议两公开”的程序确定2021年农村公益事业项目涉及2个镇5个行政村共5个项目，均为村内道路修建项目。</w:t>
      </w:r>
    </w:p>
    <w:p>
      <w:pPr>
        <w:keepNext w:val="0"/>
        <w:keepLines w:val="0"/>
        <w:pageBreakBefore w:val="0"/>
        <w:widowControl w:val="0"/>
        <w:kinsoku/>
        <w:wordWrap/>
        <w:overflowPunct/>
        <w:topLinePunct w:val="0"/>
        <w:autoSpaceDE/>
        <w:autoSpaceDN/>
        <w:bidi w:val="0"/>
        <w:adjustRightInd w:val="0"/>
        <w:snapToGrid w:val="0"/>
        <w:spacing w:line="600" w:lineRule="exact"/>
        <w:ind w:firstLine="603" w:firstLineChars="200"/>
        <w:rPr>
          <w:rFonts w:hint="eastAsia" w:ascii="楷体_GB2312" w:hAnsi="楷体_GB2312" w:eastAsia="楷体_GB2312" w:cs="楷体_GB2312"/>
          <w:b/>
          <w:bCs/>
          <w:color w:val="auto"/>
          <w:spacing w:val="-10"/>
          <w:sz w:val="32"/>
          <w:szCs w:val="32"/>
          <w:lang w:val="en-US" w:eastAsia="zh-CN"/>
        </w:rPr>
      </w:pPr>
      <w:r>
        <w:rPr>
          <w:rFonts w:hint="eastAsia" w:ascii="楷体_GB2312" w:hAnsi="楷体_GB2312" w:eastAsia="楷体_GB2312" w:cs="楷体_GB2312"/>
          <w:b/>
          <w:bCs/>
          <w:color w:val="auto"/>
          <w:spacing w:val="-10"/>
          <w:sz w:val="32"/>
          <w:szCs w:val="32"/>
          <w:lang w:val="en-US" w:eastAsia="zh-CN"/>
        </w:rPr>
        <w:t>（四）突出重点保民生，财政支出结构持续优化</w:t>
      </w:r>
    </w:p>
    <w:p>
      <w:pPr>
        <w:keepNext w:val="0"/>
        <w:keepLines w:val="0"/>
        <w:pageBreakBefore w:val="0"/>
        <w:widowControl w:val="0"/>
        <w:kinsoku/>
        <w:wordWrap/>
        <w:overflowPunct/>
        <w:topLinePunct w:val="0"/>
        <w:autoSpaceDE/>
        <w:autoSpaceDN/>
        <w:bidi w:val="0"/>
        <w:adjustRightInd w:val="0"/>
        <w:snapToGrid w:val="0"/>
        <w:spacing w:line="600" w:lineRule="exact"/>
        <w:ind w:firstLine="600" w:firstLineChars="200"/>
        <w:rPr>
          <w:rFonts w:hint="default" w:ascii="仿宋_GB2312" w:hAnsi="仿宋_GB2312" w:eastAsia="仿宋_GB2312" w:cs="仿宋_GB2312"/>
          <w:b w:val="0"/>
          <w:bCs w:val="0"/>
          <w:color w:val="auto"/>
          <w:spacing w:val="-10"/>
          <w:sz w:val="32"/>
          <w:szCs w:val="32"/>
          <w:lang w:val="en-US" w:eastAsia="zh-CN"/>
        </w:rPr>
      </w:pPr>
      <w:r>
        <w:rPr>
          <w:rFonts w:hint="eastAsia" w:ascii="仿宋_GB2312" w:hAnsi="仿宋_GB2312" w:eastAsia="仿宋_GB2312" w:cs="仿宋_GB2312"/>
          <w:b w:val="0"/>
          <w:bCs w:val="0"/>
          <w:color w:val="auto"/>
          <w:spacing w:val="-10"/>
          <w:sz w:val="32"/>
          <w:szCs w:val="32"/>
          <w:lang w:val="en-US" w:eastAsia="zh-CN"/>
        </w:rPr>
        <w:t>加大财政资金整合力度，</w:t>
      </w:r>
      <w:r>
        <w:rPr>
          <w:rFonts w:hint="default" w:ascii="仿宋_GB2312" w:hAnsi="仿宋_GB2312" w:eastAsia="仿宋_GB2312" w:cs="仿宋_GB2312"/>
          <w:b w:val="0"/>
          <w:bCs w:val="0"/>
          <w:color w:val="auto"/>
          <w:spacing w:val="-10"/>
          <w:sz w:val="32"/>
          <w:szCs w:val="32"/>
          <w:lang w:val="en-US" w:eastAsia="zh-CN"/>
        </w:rPr>
        <w:t>坚持尽力而为、量力而行，</w:t>
      </w:r>
      <w:r>
        <w:rPr>
          <w:rFonts w:hint="eastAsia" w:ascii="仿宋_GB2312" w:hAnsi="仿宋_GB2312" w:eastAsia="仿宋_GB2312" w:cs="仿宋_GB2312"/>
          <w:b w:val="0"/>
          <w:bCs w:val="0"/>
          <w:color w:val="auto"/>
          <w:spacing w:val="-10"/>
          <w:sz w:val="32"/>
          <w:szCs w:val="32"/>
          <w:lang w:val="en-US" w:eastAsia="zh-CN"/>
        </w:rPr>
        <w:t>坚决落实党政机关过紧日子要求，</w:t>
      </w:r>
      <w:r>
        <w:rPr>
          <w:rFonts w:hint="default" w:ascii="仿宋_GB2312" w:hAnsi="仿宋_GB2312" w:eastAsia="仿宋_GB2312" w:cs="仿宋_GB2312"/>
          <w:b w:val="0"/>
          <w:bCs w:val="0"/>
          <w:color w:val="auto"/>
          <w:spacing w:val="-10"/>
          <w:sz w:val="32"/>
          <w:szCs w:val="32"/>
          <w:lang w:val="en-US" w:eastAsia="zh-CN"/>
        </w:rPr>
        <w:t>持续办好重点民生实事，</w:t>
      </w:r>
      <w:r>
        <w:rPr>
          <w:rFonts w:hint="eastAsia" w:ascii="仿宋_GB2312" w:hAnsi="仿宋_GB2312" w:eastAsia="仿宋_GB2312" w:cs="仿宋_GB2312"/>
          <w:b w:val="0"/>
          <w:bCs w:val="0"/>
          <w:color w:val="auto"/>
          <w:spacing w:val="-10"/>
          <w:sz w:val="32"/>
          <w:szCs w:val="32"/>
          <w:lang w:val="en-US" w:eastAsia="zh-CN"/>
        </w:rPr>
        <w:t>统筹一切资金资源增强全区民生保障。2021年</w:t>
      </w:r>
      <w:r>
        <w:rPr>
          <w:rFonts w:hint="default" w:ascii="仿宋_GB2312" w:hAnsi="仿宋_GB2312" w:eastAsia="仿宋_GB2312" w:cs="仿宋_GB2312"/>
          <w:b w:val="0"/>
          <w:bCs w:val="0"/>
          <w:color w:val="auto"/>
          <w:spacing w:val="-10"/>
          <w:sz w:val="32"/>
          <w:szCs w:val="32"/>
          <w:lang w:val="en-US" w:eastAsia="zh-CN"/>
        </w:rPr>
        <w:t>全</w:t>
      </w:r>
      <w:r>
        <w:rPr>
          <w:rFonts w:hint="eastAsia" w:ascii="仿宋_GB2312" w:hAnsi="仿宋_GB2312" w:eastAsia="仿宋_GB2312" w:cs="仿宋_GB2312"/>
          <w:b w:val="0"/>
          <w:bCs w:val="0"/>
          <w:color w:val="auto"/>
          <w:spacing w:val="-10"/>
          <w:sz w:val="32"/>
          <w:szCs w:val="32"/>
          <w:lang w:val="en-US" w:eastAsia="zh-CN"/>
        </w:rPr>
        <w:t>区</w:t>
      </w:r>
      <w:r>
        <w:rPr>
          <w:rFonts w:hint="default" w:ascii="仿宋_GB2312" w:hAnsi="仿宋_GB2312" w:eastAsia="仿宋_GB2312" w:cs="仿宋_GB2312"/>
          <w:b w:val="0"/>
          <w:bCs w:val="0"/>
          <w:color w:val="auto"/>
          <w:spacing w:val="-10"/>
          <w:sz w:val="32"/>
          <w:szCs w:val="32"/>
          <w:lang w:val="en-US" w:eastAsia="zh-CN"/>
        </w:rPr>
        <w:t>民生支出</w:t>
      </w:r>
      <w:r>
        <w:rPr>
          <w:rFonts w:hint="eastAsia" w:ascii="仿宋_GB2312" w:hAnsi="仿宋_GB2312" w:eastAsia="仿宋_GB2312" w:cs="仿宋_GB2312"/>
          <w:b w:val="0"/>
          <w:bCs w:val="0"/>
          <w:color w:val="auto"/>
          <w:spacing w:val="-10"/>
          <w:sz w:val="32"/>
          <w:szCs w:val="32"/>
          <w:lang w:val="en-US" w:eastAsia="zh-CN"/>
        </w:rPr>
        <w:t>11.5亿元，占一般公共预算支出的81%</w:t>
      </w:r>
      <w:r>
        <w:rPr>
          <w:rFonts w:hint="default" w:ascii="仿宋_GB2312" w:hAnsi="仿宋_GB2312" w:eastAsia="仿宋_GB2312" w:cs="仿宋_GB2312"/>
          <w:b w:val="0"/>
          <w:bCs w:val="0"/>
          <w:color w:val="auto"/>
          <w:spacing w:val="-10"/>
          <w:sz w:val="32"/>
          <w:szCs w:val="32"/>
          <w:lang w:val="en-US" w:eastAsia="zh-CN"/>
        </w:rPr>
        <w:t>，</w:t>
      </w:r>
      <w:r>
        <w:rPr>
          <w:rFonts w:hint="eastAsia" w:ascii="仿宋_GB2312" w:hAnsi="仿宋_GB2312" w:eastAsia="仿宋_GB2312" w:cs="仿宋_GB2312"/>
          <w:b w:val="0"/>
          <w:bCs w:val="0"/>
          <w:color w:val="auto"/>
          <w:spacing w:val="-10"/>
          <w:sz w:val="32"/>
          <w:szCs w:val="32"/>
          <w:lang w:val="en-US" w:eastAsia="zh-CN"/>
        </w:rPr>
        <w:t>各级</w:t>
      </w:r>
      <w:r>
        <w:rPr>
          <w:rFonts w:hint="default" w:ascii="仿宋_GB2312" w:hAnsi="仿宋_GB2312" w:eastAsia="仿宋_GB2312" w:cs="仿宋_GB2312"/>
          <w:b w:val="0"/>
          <w:bCs w:val="0"/>
          <w:color w:val="auto"/>
          <w:spacing w:val="-10"/>
          <w:sz w:val="32"/>
          <w:szCs w:val="32"/>
          <w:lang w:val="en-US" w:eastAsia="zh-CN"/>
        </w:rPr>
        <w:t>各项民生政策得到较好保障。</w:t>
      </w:r>
    </w:p>
    <w:p>
      <w:pPr>
        <w:keepNext w:val="0"/>
        <w:keepLines w:val="0"/>
        <w:pageBreakBefore w:val="0"/>
        <w:widowControl w:val="0"/>
        <w:kinsoku/>
        <w:wordWrap/>
        <w:overflowPunct/>
        <w:topLinePunct w:val="0"/>
        <w:autoSpaceDE/>
        <w:autoSpaceDN/>
        <w:bidi w:val="0"/>
        <w:adjustRightInd w:val="0"/>
        <w:snapToGrid w:val="0"/>
        <w:spacing w:line="600" w:lineRule="exact"/>
        <w:ind w:firstLine="603" w:firstLineChars="200"/>
        <w:rPr>
          <w:rFonts w:hint="eastAsia" w:ascii="仿宋_GB2312" w:hAnsi="仿宋_GB2312" w:eastAsia="仿宋_GB2312" w:cs="仿宋_GB2312"/>
          <w:b w:val="0"/>
          <w:bCs w:val="0"/>
          <w:color w:val="auto"/>
          <w:spacing w:val="-10"/>
          <w:sz w:val="32"/>
          <w:szCs w:val="32"/>
          <w:lang w:val="en-US" w:eastAsia="zh-CN"/>
        </w:rPr>
      </w:pPr>
      <w:r>
        <w:rPr>
          <w:rFonts w:hint="eastAsia" w:ascii="仿宋_GB2312" w:hAnsi="仿宋_GB2312" w:eastAsia="仿宋_GB2312" w:cs="仿宋_GB2312"/>
          <w:b/>
          <w:bCs/>
          <w:color w:val="auto"/>
          <w:spacing w:val="-10"/>
          <w:sz w:val="32"/>
          <w:szCs w:val="32"/>
          <w:lang w:val="en-US" w:eastAsia="zh-CN"/>
        </w:rPr>
        <w:t>——支持教育质量提升。</w:t>
      </w:r>
      <w:r>
        <w:rPr>
          <w:rFonts w:hint="eastAsia" w:ascii="仿宋_GB2312" w:hAnsi="仿宋_GB2312" w:eastAsia="仿宋_GB2312" w:cs="仿宋_GB2312"/>
          <w:b w:val="0"/>
          <w:bCs w:val="0"/>
          <w:color w:val="auto"/>
          <w:spacing w:val="-10"/>
          <w:sz w:val="32"/>
          <w:szCs w:val="32"/>
          <w:lang w:val="en-US" w:eastAsia="zh-CN"/>
        </w:rPr>
        <w:t>自2021年春季学期起，按生均小学650元、初中850元标准，足额拨付各类学校生均公用经费共0.25亿元，保障了学校教育教学工作的正常有序开展。扩大贫困家庭学生资助范围，共拨付资助类资金405万元，有效减轻了贫困家庭经济负担，提高了群众的幸福感。</w:t>
      </w:r>
    </w:p>
    <w:p>
      <w:pPr>
        <w:keepNext w:val="0"/>
        <w:keepLines w:val="0"/>
        <w:pageBreakBefore w:val="0"/>
        <w:widowControl w:val="0"/>
        <w:kinsoku/>
        <w:wordWrap/>
        <w:overflowPunct/>
        <w:topLinePunct w:val="0"/>
        <w:autoSpaceDE/>
        <w:autoSpaceDN/>
        <w:bidi w:val="0"/>
        <w:adjustRightInd w:val="0"/>
        <w:snapToGrid w:val="0"/>
        <w:spacing w:line="600" w:lineRule="exact"/>
        <w:ind w:firstLine="603" w:firstLineChars="200"/>
        <w:rPr>
          <w:rFonts w:hint="eastAsia" w:ascii="仿宋_GB2312" w:hAnsi="仿宋_GB2312" w:eastAsia="仿宋_GB2312" w:cs="仿宋_GB2312"/>
          <w:b w:val="0"/>
          <w:bCs w:val="0"/>
          <w:color w:val="auto"/>
          <w:spacing w:val="-10"/>
          <w:sz w:val="32"/>
          <w:szCs w:val="32"/>
          <w:lang w:val="en-US" w:eastAsia="zh-CN"/>
        </w:rPr>
      </w:pPr>
      <w:r>
        <w:rPr>
          <w:rFonts w:hint="eastAsia" w:ascii="仿宋_GB2312" w:hAnsi="仿宋_GB2312" w:eastAsia="仿宋_GB2312" w:cs="仿宋_GB2312"/>
          <w:b/>
          <w:bCs/>
          <w:color w:val="auto"/>
          <w:spacing w:val="-10"/>
          <w:sz w:val="32"/>
          <w:szCs w:val="32"/>
          <w:lang w:val="en-US" w:eastAsia="zh-CN"/>
        </w:rPr>
        <w:t>——支持高质量就业保障。</w:t>
      </w:r>
      <w:r>
        <w:rPr>
          <w:rFonts w:hint="eastAsia" w:ascii="仿宋_GB2312" w:hAnsi="仿宋_GB2312" w:eastAsia="仿宋_GB2312" w:cs="仿宋_GB2312"/>
          <w:b w:val="0"/>
          <w:bCs w:val="0"/>
          <w:color w:val="auto"/>
          <w:spacing w:val="-10"/>
          <w:sz w:val="32"/>
          <w:szCs w:val="32"/>
          <w:lang w:val="en-US" w:eastAsia="zh-CN"/>
        </w:rPr>
        <w:t>认真落实公益性岗位补贴、社会保险补贴、见习补贴、就业创业服务补贴、职业培训补贴、职业技能鉴定补贴。2021年拨付就业资金973万元，惠及辖区享受就业扶持政策人数达4068人。</w:t>
      </w:r>
    </w:p>
    <w:p>
      <w:pPr>
        <w:keepNext w:val="0"/>
        <w:keepLines w:val="0"/>
        <w:pageBreakBefore w:val="0"/>
        <w:widowControl w:val="0"/>
        <w:kinsoku/>
        <w:wordWrap/>
        <w:overflowPunct/>
        <w:topLinePunct w:val="0"/>
        <w:autoSpaceDE/>
        <w:autoSpaceDN/>
        <w:bidi w:val="0"/>
        <w:adjustRightInd w:val="0"/>
        <w:snapToGrid w:val="0"/>
        <w:spacing w:line="600" w:lineRule="exact"/>
        <w:ind w:firstLine="603" w:firstLineChars="200"/>
        <w:rPr>
          <w:rFonts w:hint="eastAsia" w:ascii="仿宋_GB2312" w:hAnsi="仿宋_GB2312" w:eastAsia="仿宋_GB2312" w:cs="仿宋_GB2312"/>
          <w:b w:val="0"/>
          <w:bCs w:val="0"/>
          <w:color w:val="auto"/>
          <w:spacing w:val="-10"/>
          <w:sz w:val="32"/>
          <w:szCs w:val="32"/>
          <w:lang w:val="en-US" w:eastAsia="zh-CN"/>
        </w:rPr>
      </w:pPr>
      <w:r>
        <w:rPr>
          <w:rFonts w:hint="eastAsia" w:ascii="仿宋_GB2312" w:hAnsi="仿宋_GB2312" w:eastAsia="仿宋_GB2312" w:cs="仿宋_GB2312"/>
          <w:b/>
          <w:bCs/>
          <w:color w:val="auto"/>
          <w:spacing w:val="-10"/>
          <w:sz w:val="32"/>
          <w:szCs w:val="32"/>
          <w:lang w:val="en-US" w:eastAsia="zh-CN"/>
        </w:rPr>
        <w:t>——支持提升社会保障水平。</w:t>
      </w:r>
      <w:r>
        <w:rPr>
          <w:rFonts w:hint="eastAsia" w:ascii="仿宋_GB2312" w:hAnsi="仿宋_GB2312" w:eastAsia="仿宋_GB2312" w:cs="仿宋_GB2312"/>
          <w:b w:val="0"/>
          <w:bCs w:val="0"/>
          <w:color w:val="auto"/>
          <w:spacing w:val="-10"/>
          <w:sz w:val="32"/>
          <w:szCs w:val="32"/>
          <w:lang w:val="en-US" w:eastAsia="zh-CN"/>
        </w:rPr>
        <w:t>一是2021年安排基本公共卫生服务各级补助资金2581万元，按我区各基层医疗卫生机构考核结果进行拨付，并对账务实操有针对性的提出指导意见，受到各基层医疗卫生机构的一致好评。二是及时落实困难群众价格临时补贴，将孤儿、事实无人抚养儿童纳入联动机制保障范围,全年发放资金819万元，切实保障困难群众基本生活。</w:t>
      </w:r>
    </w:p>
    <w:p>
      <w:pPr>
        <w:keepNext w:val="0"/>
        <w:keepLines w:val="0"/>
        <w:pageBreakBefore w:val="0"/>
        <w:widowControl w:val="0"/>
        <w:kinsoku/>
        <w:wordWrap/>
        <w:overflowPunct/>
        <w:topLinePunct w:val="0"/>
        <w:autoSpaceDE/>
        <w:autoSpaceDN/>
        <w:bidi w:val="0"/>
        <w:adjustRightInd w:val="0"/>
        <w:snapToGrid w:val="0"/>
        <w:spacing w:line="600" w:lineRule="exact"/>
        <w:ind w:firstLine="603" w:firstLineChars="200"/>
        <w:rPr>
          <w:rFonts w:hint="eastAsia" w:ascii="仿宋_GB2312" w:hAnsi="仿宋_GB2312" w:eastAsia="仿宋_GB2312" w:cs="仿宋_GB2312"/>
          <w:b w:val="0"/>
          <w:bCs w:val="0"/>
          <w:color w:val="auto"/>
          <w:spacing w:val="-10"/>
          <w:sz w:val="32"/>
          <w:szCs w:val="32"/>
          <w:lang w:val="en-US" w:eastAsia="zh-CN"/>
        </w:rPr>
      </w:pPr>
      <w:r>
        <w:rPr>
          <w:rFonts w:hint="eastAsia" w:ascii="仿宋_GB2312" w:hAnsi="仿宋_GB2312" w:eastAsia="仿宋_GB2312" w:cs="仿宋_GB2312"/>
          <w:b/>
          <w:bCs/>
          <w:color w:val="auto"/>
          <w:spacing w:val="-10"/>
          <w:sz w:val="32"/>
          <w:szCs w:val="32"/>
          <w:lang w:val="en-US" w:eastAsia="zh-CN"/>
        </w:rPr>
        <w:t>——支持新冠肺炎疫情防控。</w:t>
      </w:r>
      <w:r>
        <w:rPr>
          <w:rFonts w:hint="eastAsia" w:ascii="仿宋_GB2312" w:hAnsi="仿宋_GB2312" w:eastAsia="仿宋_GB2312" w:cs="仿宋_GB2312"/>
          <w:b w:val="0"/>
          <w:bCs w:val="0"/>
          <w:color w:val="auto"/>
          <w:spacing w:val="-10"/>
          <w:sz w:val="32"/>
          <w:szCs w:val="32"/>
          <w:lang w:val="en-US" w:eastAsia="zh-CN"/>
        </w:rPr>
        <w:t>区财政坚决抗起疫情防控的政治责任，把做好疫情防控工作当做检验党史学习教育的试金石，加强资金使用调度，及时安排、拨付疫情资金，全年拨付新冠肺炎疫情防控资金70万元，拨付核酸检测资金326万元，上解红旗区新冠疫苗及接种费用区配套资金144万元，全力做好后勤保障，筑牢疫情防控线，织密疫情安全网，为我区疫情防控工作保驾护航。</w:t>
      </w:r>
    </w:p>
    <w:p>
      <w:pPr>
        <w:keepNext w:val="0"/>
        <w:keepLines w:val="0"/>
        <w:pageBreakBefore w:val="0"/>
        <w:widowControl w:val="0"/>
        <w:kinsoku/>
        <w:wordWrap/>
        <w:overflowPunct/>
        <w:topLinePunct w:val="0"/>
        <w:autoSpaceDE/>
        <w:autoSpaceDN/>
        <w:bidi w:val="0"/>
        <w:adjustRightInd w:val="0"/>
        <w:snapToGrid w:val="0"/>
        <w:spacing w:line="600" w:lineRule="exact"/>
        <w:ind w:firstLine="603" w:firstLineChars="200"/>
        <w:rPr>
          <w:rFonts w:hint="eastAsia" w:ascii="仿宋_GB2312" w:hAnsi="仿宋_GB2312" w:eastAsia="仿宋_GB2312" w:cs="仿宋_GB2312"/>
          <w:b w:val="0"/>
          <w:bCs w:val="0"/>
          <w:color w:val="FF0000"/>
          <w:spacing w:val="-10"/>
          <w:sz w:val="32"/>
          <w:szCs w:val="32"/>
          <w:lang w:val="en-US" w:eastAsia="zh-CN"/>
        </w:rPr>
      </w:pPr>
      <w:r>
        <w:rPr>
          <w:rFonts w:hint="eastAsia" w:ascii="仿宋_GB2312" w:hAnsi="仿宋_GB2312" w:eastAsia="仿宋_GB2312" w:cs="仿宋_GB2312"/>
          <w:b/>
          <w:bCs/>
          <w:color w:val="auto"/>
          <w:spacing w:val="-10"/>
          <w:sz w:val="32"/>
          <w:szCs w:val="32"/>
          <w:lang w:val="en-US" w:eastAsia="zh-CN"/>
        </w:rPr>
        <w:t>——支持推进“一卡通”管理。</w:t>
      </w:r>
      <w:r>
        <w:rPr>
          <w:rFonts w:hint="eastAsia" w:ascii="仿宋_GB2312" w:hAnsi="仿宋_GB2312" w:eastAsia="仿宋_GB2312" w:cs="仿宋_GB2312"/>
          <w:b w:val="0"/>
          <w:bCs w:val="0"/>
          <w:color w:val="auto"/>
          <w:spacing w:val="-10"/>
          <w:sz w:val="32"/>
          <w:szCs w:val="32"/>
          <w:lang w:val="en-US" w:eastAsia="zh-CN"/>
        </w:rPr>
        <w:t>全年通过“一卡通”系统发放资金124万元，惠及群众952人次。有效利用省财政厅搭建的资金发放平台，规范资金发放流程，实现了“一张清单管制度、一个平台管发放、一个专栏管公开、一套规程堵漏洞”等工作目标。</w:t>
      </w:r>
    </w:p>
    <w:p>
      <w:pPr>
        <w:keepNext w:val="0"/>
        <w:keepLines w:val="0"/>
        <w:pageBreakBefore w:val="0"/>
        <w:widowControl w:val="0"/>
        <w:kinsoku/>
        <w:wordWrap/>
        <w:overflowPunct/>
        <w:topLinePunct w:val="0"/>
        <w:autoSpaceDE/>
        <w:autoSpaceDN/>
        <w:bidi w:val="0"/>
        <w:adjustRightInd w:val="0"/>
        <w:snapToGrid w:val="0"/>
        <w:spacing w:line="600" w:lineRule="exact"/>
        <w:ind w:firstLine="603" w:firstLineChars="200"/>
        <w:rPr>
          <w:rFonts w:hint="default" w:ascii="仿宋_GB2312" w:hAnsi="仿宋_GB2312" w:eastAsia="仿宋_GB2312" w:cs="仿宋_GB2312"/>
          <w:b w:val="0"/>
          <w:bCs w:val="0"/>
          <w:color w:val="auto"/>
          <w:spacing w:val="-10"/>
          <w:sz w:val="32"/>
          <w:szCs w:val="32"/>
          <w:lang w:val="en-US" w:eastAsia="zh-CN"/>
        </w:rPr>
      </w:pPr>
      <w:r>
        <w:rPr>
          <w:rFonts w:hint="eastAsia" w:ascii="仿宋_GB2312" w:hAnsi="仿宋_GB2312" w:eastAsia="仿宋_GB2312" w:cs="仿宋_GB2312"/>
          <w:b/>
          <w:bCs/>
          <w:color w:val="auto"/>
          <w:spacing w:val="-10"/>
          <w:sz w:val="32"/>
          <w:szCs w:val="32"/>
          <w:lang w:val="en-US" w:eastAsia="zh-CN"/>
        </w:rPr>
        <w:t>——支持老旧小区改造工作。</w:t>
      </w:r>
      <w:r>
        <w:rPr>
          <w:rFonts w:hint="eastAsia" w:ascii="仿宋_GB2312" w:hAnsi="仿宋_GB2312" w:eastAsia="仿宋_GB2312" w:cs="仿宋_GB2312"/>
          <w:b w:val="0"/>
          <w:bCs w:val="0"/>
          <w:color w:val="auto"/>
          <w:spacing w:val="-10"/>
          <w:sz w:val="32"/>
          <w:szCs w:val="32"/>
          <w:lang w:val="en-US" w:eastAsia="zh-CN"/>
        </w:rPr>
        <w:t>2021年拨付城镇老旧小区改造中央资金0.9亿元，多次召开项目资金落实协调会，督促项目单位加快工程进度，规范资金使用，提高资金使用效率，确保全区老旧小区改造工作快速推进，市容市貌得到进一步提升，人民群众的获得感、幸福感、安全感进一步增强。</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rPr>
          <w:rFonts w:hint="default" w:ascii="仿宋_GB2312" w:hAnsi="仿宋_GB2312" w:eastAsia="仿宋_GB2312" w:cs="仿宋_GB2312"/>
          <w:b/>
          <w:bCs/>
          <w:color w:val="000000"/>
          <w:sz w:val="32"/>
          <w:szCs w:val="32"/>
          <w:lang w:val="en-US" w:eastAsia="zh-CN"/>
        </w:rPr>
      </w:pPr>
      <w:r>
        <w:rPr>
          <w:rFonts w:hint="eastAsia" w:ascii="仿宋_GB2312" w:hAnsi="仿宋_GB2312" w:eastAsia="仿宋_GB2312" w:cs="仿宋_GB2312"/>
          <w:b/>
          <w:bCs/>
          <w:color w:val="000000"/>
          <w:sz w:val="32"/>
          <w:szCs w:val="32"/>
          <w:lang w:val="en-US" w:eastAsia="zh-CN"/>
        </w:rPr>
        <w:t>（五）落实积极财政政策，促进经济高质量发展</w:t>
      </w:r>
    </w:p>
    <w:p>
      <w:pPr>
        <w:keepNext w:val="0"/>
        <w:keepLines w:val="0"/>
        <w:pageBreakBefore w:val="0"/>
        <w:widowControl w:val="0"/>
        <w:kinsoku/>
        <w:wordWrap/>
        <w:overflowPunct/>
        <w:topLinePunct w:val="0"/>
        <w:autoSpaceDE/>
        <w:autoSpaceDN/>
        <w:bidi w:val="0"/>
        <w:adjustRightInd w:val="0"/>
        <w:snapToGrid w:val="0"/>
        <w:spacing w:line="600" w:lineRule="exact"/>
        <w:ind w:firstLine="603" w:firstLineChars="200"/>
        <w:rPr>
          <w:rFonts w:hint="default" w:ascii="仿宋_GB2312" w:hAnsi="仿宋_GB2312" w:eastAsia="仿宋_GB2312" w:cs="仿宋_GB2312"/>
          <w:b/>
          <w:bCs/>
          <w:color w:val="000000"/>
          <w:sz w:val="32"/>
          <w:szCs w:val="32"/>
          <w:lang w:val="en-US" w:eastAsia="zh-CN"/>
        </w:rPr>
      </w:pPr>
      <w:r>
        <w:rPr>
          <w:rFonts w:hint="eastAsia" w:ascii="仿宋_GB2312" w:hAnsi="仿宋_GB2312" w:eastAsia="仿宋_GB2312" w:cs="仿宋_GB2312"/>
          <w:b/>
          <w:bCs/>
          <w:color w:val="auto"/>
          <w:spacing w:val="-10"/>
          <w:sz w:val="32"/>
          <w:szCs w:val="32"/>
          <w:lang w:val="en-US" w:eastAsia="zh-CN"/>
        </w:rPr>
        <w:t>——</w:t>
      </w:r>
      <w:r>
        <w:rPr>
          <w:rFonts w:hint="eastAsia" w:ascii="仿宋_GB2312" w:hAnsi="仿宋_GB2312" w:eastAsia="仿宋_GB2312" w:cs="仿宋_GB2312"/>
          <w:b/>
          <w:bCs/>
          <w:color w:val="000000"/>
          <w:sz w:val="32"/>
          <w:szCs w:val="32"/>
          <w:lang w:val="en-US" w:eastAsia="zh-CN"/>
        </w:rPr>
        <w:t>创新驱动谋发展。</w:t>
      </w:r>
      <w:r>
        <w:rPr>
          <w:rFonts w:hint="eastAsia" w:ascii="仿宋_GB2312" w:hAnsi="仿宋_GB2312" w:eastAsia="仿宋_GB2312" w:cs="仿宋_GB2312"/>
          <w:b w:val="0"/>
          <w:bCs w:val="0"/>
          <w:color w:val="000000"/>
          <w:sz w:val="32"/>
          <w:szCs w:val="32"/>
          <w:lang w:val="en-US" w:eastAsia="zh-CN"/>
        </w:rPr>
        <w:t>坚持“项目为王”，</w:t>
      </w:r>
      <w:r>
        <w:rPr>
          <w:rFonts w:hint="eastAsia" w:ascii="仿宋_GB2312" w:hAnsi="仿宋_GB2312" w:eastAsia="仿宋_GB2312" w:cs="仿宋_GB2312"/>
          <w:color w:val="000000"/>
          <w:sz w:val="32"/>
          <w:szCs w:val="32"/>
          <w:lang w:val="en-US" w:eastAsia="zh-CN"/>
        </w:rPr>
        <w:t>积极发挥财政职能作用，重点支持科技创新和产业发展等具有引领带动作用的关键领域，为经济高质量发展集聚新动能。一是争取专项债券0.5亿元支持新东光电信息服务平台建设。二是兑付北方车辆仪表有限公司政策扶持资金565万元，保障企业在疫情、自然灾害等因素影响下稳定发展。三是安排0.27亿元用于人力资源和总部经济等企业扶持政策兑现，投入0.28亿元用于政府投资基金。</w:t>
      </w:r>
    </w:p>
    <w:p>
      <w:pPr>
        <w:keepNext w:val="0"/>
        <w:keepLines w:val="0"/>
        <w:pageBreakBefore w:val="0"/>
        <w:widowControl w:val="0"/>
        <w:kinsoku/>
        <w:wordWrap/>
        <w:overflowPunct/>
        <w:topLinePunct w:val="0"/>
        <w:autoSpaceDE/>
        <w:autoSpaceDN/>
        <w:bidi w:val="0"/>
        <w:adjustRightInd w:val="0"/>
        <w:snapToGrid w:val="0"/>
        <w:spacing w:line="600" w:lineRule="exact"/>
        <w:ind w:firstLine="603" w:firstLineChars="200"/>
        <w:rPr>
          <w:rFonts w:hint="default" w:ascii="仿宋_GB2312" w:hAnsi="仿宋_GB2312" w:eastAsia="仿宋_GB2312" w:cs="仿宋_GB2312"/>
          <w:b w:val="0"/>
          <w:bCs w:val="0"/>
          <w:color w:val="auto"/>
          <w:spacing w:val="-10"/>
          <w:sz w:val="32"/>
          <w:szCs w:val="32"/>
          <w:lang w:val="en-US" w:eastAsia="zh-CN"/>
        </w:rPr>
      </w:pPr>
      <w:r>
        <w:rPr>
          <w:rFonts w:hint="eastAsia" w:ascii="仿宋_GB2312" w:hAnsi="仿宋_GB2312" w:eastAsia="仿宋_GB2312" w:cs="仿宋_GB2312"/>
          <w:b/>
          <w:bCs/>
          <w:color w:val="auto"/>
          <w:spacing w:val="-10"/>
          <w:sz w:val="32"/>
          <w:szCs w:val="32"/>
          <w:lang w:val="en-US" w:eastAsia="zh-CN"/>
        </w:rPr>
        <w:t>——</w:t>
      </w:r>
      <w:r>
        <w:rPr>
          <w:rFonts w:hint="default" w:ascii="仿宋_GB2312" w:hAnsi="仿宋_GB2312" w:eastAsia="仿宋_GB2312" w:cs="仿宋_GB2312"/>
          <w:b/>
          <w:bCs/>
          <w:color w:val="auto"/>
          <w:spacing w:val="-10"/>
          <w:sz w:val="32"/>
          <w:szCs w:val="32"/>
          <w:lang w:val="en-US" w:eastAsia="zh-CN"/>
        </w:rPr>
        <w:t>减税降费</w:t>
      </w:r>
      <w:r>
        <w:rPr>
          <w:rFonts w:hint="eastAsia" w:ascii="仿宋_GB2312" w:hAnsi="仿宋_GB2312" w:eastAsia="仿宋_GB2312" w:cs="仿宋_GB2312"/>
          <w:b/>
          <w:bCs/>
          <w:color w:val="auto"/>
          <w:spacing w:val="-10"/>
          <w:sz w:val="32"/>
          <w:szCs w:val="32"/>
          <w:lang w:val="en-US" w:eastAsia="zh-CN"/>
        </w:rPr>
        <w:t>消负担</w:t>
      </w:r>
      <w:r>
        <w:rPr>
          <w:rFonts w:hint="default" w:ascii="仿宋_GB2312" w:hAnsi="仿宋_GB2312" w:eastAsia="仿宋_GB2312" w:cs="仿宋_GB2312"/>
          <w:b/>
          <w:bCs/>
          <w:color w:val="auto"/>
          <w:spacing w:val="-10"/>
          <w:sz w:val="32"/>
          <w:szCs w:val="32"/>
          <w:lang w:val="en-US" w:eastAsia="zh-CN"/>
        </w:rPr>
        <w:t>。</w:t>
      </w:r>
      <w:r>
        <w:rPr>
          <w:rFonts w:hint="default" w:ascii="仿宋_GB2312" w:hAnsi="仿宋_GB2312" w:eastAsia="仿宋_GB2312" w:cs="仿宋_GB2312"/>
          <w:b w:val="0"/>
          <w:bCs w:val="0"/>
          <w:color w:val="auto"/>
          <w:spacing w:val="-10"/>
          <w:sz w:val="32"/>
          <w:szCs w:val="32"/>
          <w:lang w:val="en-US" w:eastAsia="zh-CN"/>
        </w:rPr>
        <w:t>落实习近平总书记“减税降费必须实打实、硬碰硬”重要指示精神，持续落实增值税留抵退税等制度性减税降费政策，落实好小微企业普惠性税收减免以及部分延续性税费支持政策。全年新增减税降费</w:t>
      </w:r>
      <w:r>
        <w:rPr>
          <w:rFonts w:hint="eastAsia" w:ascii="仿宋_GB2312" w:hAnsi="仿宋_GB2312" w:eastAsia="仿宋_GB2312" w:cs="仿宋_GB2312"/>
          <w:b w:val="0"/>
          <w:bCs w:val="0"/>
          <w:color w:val="auto"/>
          <w:spacing w:val="-10"/>
          <w:sz w:val="32"/>
          <w:szCs w:val="32"/>
          <w:lang w:val="en-US" w:eastAsia="zh-CN"/>
        </w:rPr>
        <w:t>约3.46亿</w:t>
      </w:r>
      <w:r>
        <w:rPr>
          <w:rFonts w:hint="default" w:ascii="仿宋_GB2312" w:hAnsi="仿宋_GB2312" w:eastAsia="仿宋_GB2312" w:cs="仿宋_GB2312"/>
          <w:b w:val="0"/>
          <w:bCs w:val="0"/>
          <w:color w:val="auto"/>
          <w:spacing w:val="-10"/>
          <w:sz w:val="32"/>
          <w:szCs w:val="32"/>
          <w:lang w:val="en-US" w:eastAsia="zh-CN"/>
        </w:rPr>
        <w:t>元</w:t>
      </w:r>
      <w:r>
        <w:rPr>
          <w:rFonts w:hint="eastAsia" w:ascii="仿宋_GB2312" w:hAnsi="仿宋_GB2312" w:eastAsia="仿宋_GB2312" w:cs="仿宋_GB2312"/>
          <w:b w:val="0"/>
          <w:bCs w:val="0"/>
          <w:color w:val="auto"/>
          <w:spacing w:val="-10"/>
          <w:sz w:val="32"/>
          <w:szCs w:val="32"/>
          <w:lang w:val="en-US" w:eastAsia="zh-CN"/>
        </w:rPr>
        <w:t>，新增</w:t>
      </w:r>
      <w:r>
        <w:rPr>
          <w:rFonts w:hint="default" w:ascii="仿宋_GB2312" w:hAnsi="仿宋_GB2312" w:eastAsia="仿宋_GB2312" w:cs="仿宋_GB2312"/>
          <w:b w:val="0"/>
          <w:bCs w:val="0"/>
          <w:color w:val="auto"/>
          <w:spacing w:val="-10"/>
          <w:sz w:val="32"/>
          <w:szCs w:val="32"/>
          <w:lang w:val="en-US" w:eastAsia="zh-CN"/>
        </w:rPr>
        <w:t>增值税留抵退税</w:t>
      </w:r>
      <w:r>
        <w:rPr>
          <w:rFonts w:hint="eastAsia" w:ascii="仿宋_GB2312" w:hAnsi="仿宋_GB2312" w:eastAsia="仿宋_GB2312" w:cs="仿宋_GB2312"/>
          <w:b w:val="0"/>
          <w:bCs w:val="0"/>
          <w:color w:val="auto"/>
          <w:spacing w:val="-10"/>
          <w:sz w:val="32"/>
          <w:szCs w:val="32"/>
          <w:lang w:val="en-US" w:eastAsia="zh-CN"/>
        </w:rPr>
        <w:t>0.23亿元</w:t>
      </w:r>
      <w:r>
        <w:rPr>
          <w:rFonts w:hint="default" w:ascii="仿宋_GB2312" w:hAnsi="仿宋_GB2312" w:eastAsia="仿宋_GB2312" w:cs="仿宋_GB2312"/>
          <w:b w:val="0"/>
          <w:bCs w:val="0"/>
          <w:color w:val="auto"/>
          <w:spacing w:val="-10"/>
          <w:sz w:val="32"/>
          <w:szCs w:val="32"/>
          <w:lang w:val="en-US"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03" w:firstLineChars="200"/>
        <w:rPr>
          <w:rFonts w:hint="eastAsia" w:ascii="仿宋_GB2312" w:hAnsi="Calibri" w:eastAsia="仿宋_GB2312" w:cs="Times New Roman"/>
          <w:b w:val="0"/>
          <w:bCs w:val="0"/>
          <w:color w:val="auto"/>
          <w:spacing w:val="-10"/>
          <w:sz w:val="32"/>
          <w:szCs w:val="32"/>
          <w:lang w:val="en-US" w:eastAsia="zh-CN"/>
        </w:rPr>
      </w:pPr>
      <w:r>
        <w:rPr>
          <w:rFonts w:hint="eastAsia" w:ascii="仿宋_GB2312" w:hAnsi="仿宋_GB2312" w:eastAsia="仿宋_GB2312" w:cs="仿宋_GB2312"/>
          <w:b/>
          <w:bCs/>
          <w:color w:val="auto"/>
          <w:spacing w:val="-10"/>
          <w:sz w:val="32"/>
          <w:szCs w:val="32"/>
          <w:lang w:val="en-US" w:eastAsia="zh-CN"/>
        </w:rPr>
        <w:t>——</w:t>
      </w:r>
      <w:r>
        <w:rPr>
          <w:rFonts w:hint="eastAsia" w:ascii="仿宋_GB2312" w:hAnsi="Calibri" w:eastAsia="仿宋_GB2312" w:cs="Times New Roman"/>
          <w:b/>
          <w:bCs/>
          <w:color w:val="auto"/>
          <w:spacing w:val="-10"/>
          <w:sz w:val="32"/>
          <w:szCs w:val="32"/>
          <w:lang w:val="en-US" w:eastAsia="zh-CN"/>
        </w:rPr>
        <w:t>多措并举强绩效。</w:t>
      </w:r>
      <w:r>
        <w:rPr>
          <w:rFonts w:hint="eastAsia" w:ascii="仿宋_GB2312" w:hAnsi="Calibri" w:eastAsia="仿宋_GB2312" w:cs="Times New Roman"/>
          <w:b w:val="0"/>
          <w:bCs w:val="0"/>
          <w:color w:val="auto"/>
          <w:spacing w:val="-10"/>
          <w:sz w:val="32"/>
          <w:szCs w:val="32"/>
          <w:lang w:val="en-US" w:eastAsia="zh-CN"/>
        </w:rPr>
        <w:t>为落实全面实施预算绩效管理相关政策，我区率先在全市通过公开招标方式聘用两家第三方专业机构对预算绩效管理工作进行全流程指导，对全区10个重点项目（涉及专项债券项目、百城提质项目、重点民生工程项目等1亿元）和2个部门整体开展重点绩效评价，保障财政资金提质增效。</w:t>
      </w:r>
    </w:p>
    <w:p>
      <w:pPr>
        <w:keepNext w:val="0"/>
        <w:keepLines w:val="0"/>
        <w:pageBreakBefore w:val="0"/>
        <w:widowControl w:val="0"/>
        <w:kinsoku/>
        <w:wordWrap/>
        <w:overflowPunct/>
        <w:topLinePunct w:val="0"/>
        <w:autoSpaceDE/>
        <w:autoSpaceDN/>
        <w:bidi w:val="0"/>
        <w:adjustRightInd w:val="0"/>
        <w:snapToGrid w:val="0"/>
        <w:spacing w:line="600" w:lineRule="exact"/>
        <w:ind w:firstLine="603" w:firstLineChars="200"/>
        <w:rPr>
          <w:rFonts w:hint="eastAsia" w:ascii="仿宋_GB2312" w:hAnsi="Calibri" w:eastAsia="仿宋_GB2312" w:cs="Times New Roman"/>
          <w:b w:val="0"/>
          <w:bCs w:val="0"/>
          <w:color w:val="auto"/>
          <w:spacing w:val="-10"/>
          <w:sz w:val="32"/>
          <w:szCs w:val="32"/>
          <w:lang w:val="en-US" w:eastAsia="zh-CN"/>
        </w:rPr>
      </w:pPr>
      <w:r>
        <w:rPr>
          <w:rFonts w:hint="eastAsia" w:ascii="仿宋_GB2312" w:hAnsi="仿宋_GB2312" w:eastAsia="仿宋_GB2312" w:cs="仿宋_GB2312"/>
          <w:b/>
          <w:bCs/>
          <w:color w:val="auto"/>
          <w:spacing w:val="-10"/>
          <w:sz w:val="32"/>
          <w:szCs w:val="32"/>
          <w:lang w:val="en-US" w:eastAsia="zh-CN"/>
        </w:rPr>
        <w:t>——预算管理重规范</w:t>
      </w:r>
      <w:r>
        <w:rPr>
          <w:rFonts w:hint="eastAsia" w:ascii="仿宋_GB2312" w:hAnsi="Calibri" w:eastAsia="仿宋_GB2312" w:cs="Times New Roman"/>
          <w:b/>
          <w:bCs/>
          <w:color w:val="auto"/>
          <w:spacing w:val="-10"/>
          <w:sz w:val="32"/>
          <w:szCs w:val="32"/>
          <w:lang w:val="en-US" w:eastAsia="zh-CN"/>
        </w:rPr>
        <w:t>。</w:t>
      </w:r>
      <w:r>
        <w:rPr>
          <w:rFonts w:hint="eastAsia" w:ascii="仿宋_GB2312" w:hAnsi="Calibri" w:eastAsia="仿宋_GB2312" w:cs="Times New Roman"/>
          <w:b w:val="0"/>
          <w:bCs w:val="0"/>
          <w:color w:val="auto"/>
          <w:spacing w:val="-10"/>
          <w:sz w:val="32"/>
          <w:szCs w:val="32"/>
          <w:lang w:val="en-US" w:eastAsia="zh-CN"/>
        </w:rPr>
        <w:t>加强财政信息化建设，全面推进预算管理一体化，覆盖全区53个部门和103个单位，对预算编制、预算执行、预算调整、预算绩效、预算监督等业务集中一体化管理，规范业务流程，有效提高财政资金支出效率，保障资金支出安全、便捷、规范。</w:t>
      </w:r>
    </w:p>
    <w:p>
      <w:pPr>
        <w:keepNext w:val="0"/>
        <w:keepLines w:val="0"/>
        <w:pageBreakBefore w:val="0"/>
        <w:widowControl w:val="0"/>
        <w:kinsoku/>
        <w:wordWrap/>
        <w:overflowPunct/>
        <w:topLinePunct w:val="0"/>
        <w:autoSpaceDE/>
        <w:autoSpaceDN/>
        <w:bidi w:val="0"/>
        <w:adjustRightInd w:val="0"/>
        <w:snapToGrid w:val="0"/>
        <w:spacing w:line="600" w:lineRule="exact"/>
        <w:ind w:firstLine="603" w:firstLineChars="200"/>
        <w:rPr>
          <w:rFonts w:hint="eastAsia" w:ascii="仿宋_GB2312" w:hAnsi="Calibri" w:eastAsia="仿宋_GB2312" w:cs="Times New Roman"/>
          <w:b w:val="0"/>
          <w:bCs w:val="0"/>
          <w:color w:val="FF0000"/>
          <w:spacing w:val="-10"/>
          <w:sz w:val="32"/>
          <w:szCs w:val="32"/>
          <w:lang w:val="en-US" w:eastAsia="zh-CN"/>
        </w:rPr>
      </w:pPr>
      <w:r>
        <w:rPr>
          <w:rFonts w:hint="eastAsia" w:ascii="仿宋_GB2312" w:hAnsi="仿宋_GB2312" w:eastAsia="仿宋_GB2312" w:cs="仿宋_GB2312"/>
          <w:b/>
          <w:bCs/>
          <w:color w:val="auto"/>
          <w:spacing w:val="-10"/>
          <w:sz w:val="32"/>
          <w:szCs w:val="32"/>
          <w:lang w:val="en-US" w:eastAsia="zh-CN"/>
        </w:rPr>
        <w:t>——</w:t>
      </w:r>
      <w:r>
        <w:rPr>
          <w:rFonts w:hint="eastAsia" w:ascii="仿宋_GB2312" w:hAnsi="Calibri" w:eastAsia="仿宋_GB2312" w:cs="Times New Roman"/>
          <w:b/>
          <w:bCs/>
          <w:color w:val="auto"/>
          <w:spacing w:val="-10"/>
          <w:sz w:val="32"/>
          <w:szCs w:val="32"/>
          <w:lang w:val="en-US" w:eastAsia="zh-CN"/>
        </w:rPr>
        <w:t>政府采购助融资。</w:t>
      </w:r>
      <w:r>
        <w:rPr>
          <w:rFonts w:hint="eastAsia" w:ascii="仿宋_GB2312" w:hAnsi="Calibri" w:eastAsia="仿宋_GB2312" w:cs="Times New Roman"/>
          <w:b w:val="0"/>
          <w:bCs w:val="0"/>
          <w:color w:val="auto"/>
          <w:spacing w:val="-10"/>
          <w:sz w:val="32"/>
          <w:szCs w:val="32"/>
          <w:lang w:val="en-US" w:eastAsia="zh-CN"/>
        </w:rPr>
        <w:t>出台《红旗区财政局关于进一步推进政府采购合同融资工作实施方案》，</w:t>
      </w:r>
      <w:r>
        <w:rPr>
          <w:rFonts w:hint="eastAsia" w:ascii="仿宋_GB2312" w:hAnsi="仿宋_GB2312" w:eastAsia="仿宋_GB2312" w:cs="仿宋_GB2312"/>
          <w:i w:val="0"/>
          <w:iCs w:val="0"/>
          <w:caps w:val="0"/>
          <w:color w:val="auto"/>
          <w:spacing w:val="0"/>
          <w:sz w:val="32"/>
          <w:szCs w:val="32"/>
          <w:shd w:val="clear" w:color="auto" w:fill="FFFFFF"/>
          <w:lang w:eastAsia="zh-CN"/>
        </w:rPr>
        <w:t>发挥政府采购扶持中小企业发展的政策功能，促进政府采购诚信体系建设，拓展中小微企业融资渠道，推进政府采购合同融资。</w:t>
      </w:r>
      <w:r>
        <w:rPr>
          <w:rFonts w:hint="eastAsia" w:ascii="仿宋_GB2312" w:hAnsi="仿宋_GB2312" w:eastAsia="仿宋_GB2312" w:cs="仿宋_GB2312"/>
          <w:i w:val="0"/>
          <w:iCs w:val="0"/>
          <w:caps w:val="0"/>
          <w:color w:val="auto"/>
          <w:spacing w:val="0"/>
          <w:sz w:val="32"/>
          <w:szCs w:val="32"/>
          <w:shd w:val="clear" w:color="auto" w:fill="FFFFFF"/>
          <w:lang w:val="en-US" w:eastAsia="zh-CN"/>
        </w:rPr>
        <w:t>2021年全年政府采购合同融资4笔，融资金额615.19万元，有效</w:t>
      </w:r>
      <w:r>
        <w:rPr>
          <w:rFonts w:hint="eastAsia" w:ascii="仿宋_GB2312" w:hAnsi="仿宋_GB2312" w:eastAsia="仿宋_GB2312" w:cs="仿宋_GB2312"/>
          <w:i w:val="0"/>
          <w:iCs w:val="0"/>
          <w:caps w:val="0"/>
          <w:color w:val="auto"/>
          <w:spacing w:val="0"/>
          <w:sz w:val="32"/>
          <w:szCs w:val="32"/>
          <w:shd w:val="clear" w:color="auto" w:fill="FFFFFF"/>
          <w:lang w:eastAsia="zh-CN"/>
        </w:rPr>
        <w:t>缓解中小微企业融资难、融资贵问题，促进金融与中小微企业良性互动发展。</w:t>
      </w:r>
    </w:p>
    <w:p>
      <w:pPr>
        <w:keepNext w:val="0"/>
        <w:keepLines w:val="0"/>
        <w:pageBreakBefore w:val="0"/>
        <w:widowControl w:val="0"/>
        <w:kinsoku/>
        <w:wordWrap/>
        <w:overflowPunct/>
        <w:topLinePunct w:val="0"/>
        <w:autoSpaceDE/>
        <w:autoSpaceDN/>
        <w:bidi w:val="0"/>
        <w:adjustRightInd w:val="0"/>
        <w:snapToGrid w:val="0"/>
        <w:spacing w:line="600" w:lineRule="exact"/>
        <w:ind w:firstLine="603" w:firstLineChars="200"/>
        <w:rPr>
          <w:rFonts w:hint="eastAsia" w:ascii="仿宋_GB2312" w:hAnsi="Calibri" w:eastAsia="仿宋_GB2312" w:cs="Times New Roman"/>
          <w:b w:val="0"/>
          <w:bCs w:val="0"/>
          <w:color w:val="auto"/>
          <w:spacing w:val="-10"/>
          <w:sz w:val="32"/>
          <w:szCs w:val="32"/>
          <w:lang w:val="en-US" w:eastAsia="zh-CN"/>
        </w:rPr>
      </w:pPr>
      <w:r>
        <w:rPr>
          <w:rFonts w:hint="eastAsia" w:ascii="仿宋_GB2312" w:hAnsi="仿宋_GB2312" w:eastAsia="仿宋_GB2312" w:cs="仿宋_GB2312"/>
          <w:b/>
          <w:bCs/>
          <w:color w:val="auto"/>
          <w:spacing w:val="-10"/>
          <w:sz w:val="32"/>
          <w:szCs w:val="32"/>
          <w:lang w:val="en-US" w:eastAsia="zh-CN"/>
        </w:rPr>
        <w:t>——</w:t>
      </w:r>
      <w:r>
        <w:rPr>
          <w:rFonts w:hint="eastAsia" w:ascii="仿宋_GB2312" w:hAnsi="Calibri" w:eastAsia="仿宋_GB2312" w:cs="Times New Roman"/>
          <w:b/>
          <w:bCs/>
          <w:color w:val="auto"/>
          <w:spacing w:val="-10"/>
          <w:sz w:val="32"/>
          <w:szCs w:val="32"/>
          <w:lang w:val="en-US" w:eastAsia="zh-CN"/>
        </w:rPr>
        <w:t>财政资金保收益。</w:t>
      </w:r>
      <w:r>
        <w:rPr>
          <w:rFonts w:hint="eastAsia" w:ascii="仿宋_GB2312" w:hAnsi="Calibri" w:eastAsia="仿宋_GB2312" w:cs="Times New Roman"/>
          <w:b w:val="0"/>
          <w:bCs w:val="0"/>
          <w:color w:val="auto"/>
          <w:spacing w:val="-10"/>
          <w:sz w:val="32"/>
          <w:szCs w:val="32"/>
          <w:lang w:val="en-US" w:eastAsia="zh-CN"/>
        </w:rPr>
        <w:t>一是提高存款利率，对所有社保资金活期存款一律按三个月整存整取存款利率计息，由原来的0.30%提高到1.35%；二是对存量资金进行中长期定存，提高资金的收益，截至2021年底，我区城乡居民养老保险财政专户定存资金0.38亿元（利率由0.39%提高到2.175%），社保财政专户定存资金1.1亿元（利率由0.3%提高到1.75%）。2022年1月社保财政专户定存资金1.3亿元（利率由1.75%提高到2.1%）。</w:t>
      </w:r>
    </w:p>
    <w:p>
      <w:pPr>
        <w:ind w:firstLine="660"/>
        <w:rPr>
          <w:rFonts w:hint="eastAsia" w:ascii="仿宋_GB2312" w:eastAsia="仿宋_GB2312"/>
          <w:sz w:val="32"/>
          <w:szCs w:val="32"/>
        </w:rPr>
      </w:pPr>
    </w:p>
    <w:p>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DC51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2022-09-05T10:37:46Z</dcterms:created>
  <dc:creator>Administrator</dc:creator>
  <cp:lastModifiedBy>Administrator</cp:lastModifiedBy>
  <dcterms:modified xsi:type="dcterms:W3CDTF">2022-09-05T10:37:50Z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