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  <w:lang w:eastAsia="zh-CN"/>
        </w:rPr>
        <w:t>红旗区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一般公共预算“三公”经费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决算执行情况说明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</w:rPr>
      </w:pPr>
      <w:r>
        <w:rPr>
          <w:rFonts w:hint="eastAsia" w:ascii="仿宋_GB2312" w:hAnsi="文星仿宋" w:eastAsia="仿宋_GB2312"/>
          <w:sz w:val="32"/>
          <w:szCs w:val="30"/>
        </w:rPr>
        <w:t>202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</w:t>
      </w:r>
      <w:r>
        <w:rPr>
          <w:rFonts w:hint="eastAsia" w:ascii="仿宋_GB2312" w:hAnsi="文星仿宋" w:eastAsia="仿宋_GB2312"/>
          <w:sz w:val="32"/>
          <w:szCs w:val="30"/>
        </w:rPr>
        <w:t>年全区一般公共预算安排的“三公”经费决算支出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224.44</w:t>
      </w:r>
      <w:r>
        <w:rPr>
          <w:rFonts w:hint="eastAsia" w:ascii="仿宋_GB2312" w:hAnsi="文星仿宋" w:eastAsia="仿宋_GB2312"/>
          <w:sz w:val="32"/>
          <w:szCs w:val="30"/>
        </w:rPr>
        <w:t>万元，比上年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233.35</w:t>
      </w:r>
      <w:r>
        <w:rPr>
          <w:rFonts w:hint="eastAsia" w:ascii="仿宋_GB2312" w:hAnsi="文星仿宋" w:eastAsia="仿宋_GB2312"/>
          <w:sz w:val="32"/>
          <w:szCs w:val="30"/>
        </w:rPr>
        <w:t>万元，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51.0</w:t>
      </w:r>
      <w:r>
        <w:rPr>
          <w:rFonts w:hint="eastAsia" w:ascii="仿宋_GB2312" w:hAnsi="文星仿宋" w:eastAsia="仿宋_GB2312"/>
          <w:sz w:val="32"/>
          <w:szCs w:val="30"/>
        </w:rPr>
        <w:t>%。其中：因公出国（境）费0万元，公务接待费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46.31</w:t>
      </w:r>
      <w:r>
        <w:rPr>
          <w:rFonts w:hint="eastAsia" w:ascii="仿宋_GB2312" w:hAnsi="文星仿宋" w:eastAsia="仿宋_GB2312"/>
          <w:sz w:val="32"/>
          <w:szCs w:val="30"/>
        </w:rPr>
        <w:t>万元，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增长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30.6</w:t>
      </w:r>
      <w:r>
        <w:rPr>
          <w:rFonts w:hint="eastAsia" w:ascii="仿宋_GB2312" w:hAnsi="文星仿宋" w:eastAsia="仿宋_GB2312"/>
          <w:sz w:val="32"/>
          <w:szCs w:val="30"/>
        </w:rPr>
        <w:t>%；公务用车运行维护费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165.09</w:t>
      </w:r>
      <w:r>
        <w:rPr>
          <w:rFonts w:hint="eastAsia" w:ascii="仿宋_GB2312" w:hAnsi="文星仿宋" w:eastAsia="仿宋_GB2312"/>
          <w:sz w:val="32"/>
          <w:szCs w:val="30"/>
        </w:rPr>
        <w:t>万元，下降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34.1</w:t>
      </w:r>
      <w:r>
        <w:rPr>
          <w:rFonts w:hint="eastAsia" w:ascii="仿宋_GB2312" w:hAnsi="文星仿宋" w:eastAsia="仿宋_GB2312"/>
          <w:sz w:val="32"/>
          <w:szCs w:val="30"/>
        </w:rPr>
        <w:t>%；公务用车购置费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13.04</w:t>
      </w:r>
      <w:r>
        <w:rPr>
          <w:rFonts w:hint="eastAsia" w:ascii="仿宋_GB2312" w:hAnsi="文星仿宋" w:eastAsia="仿宋_GB2312"/>
          <w:sz w:val="32"/>
          <w:szCs w:val="30"/>
        </w:rPr>
        <w:t>万元，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0"/>
          <w:lang w:val="en-US" w:eastAsia="zh-CN"/>
        </w:rPr>
        <w:t>92.4</w:t>
      </w:r>
      <w:r>
        <w:rPr>
          <w:rFonts w:hint="eastAsia" w:ascii="仿宋_GB2312" w:hAnsi="文星仿宋" w:eastAsia="仿宋_GB2312"/>
          <w:sz w:val="32"/>
          <w:szCs w:val="30"/>
        </w:rPr>
        <w:t>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  <w:lang w:eastAsia="zh-CN"/>
        </w:rPr>
      </w:pPr>
      <w:r>
        <w:rPr>
          <w:rFonts w:hint="eastAsia" w:ascii="仿宋_GB2312" w:hAnsi="文星仿宋" w:eastAsia="仿宋_GB2312"/>
          <w:sz w:val="32"/>
          <w:szCs w:val="30"/>
        </w:rPr>
        <w:t>我区“三公”经费主要是公务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接待费</w:t>
      </w:r>
      <w:r>
        <w:rPr>
          <w:rFonts w:hint="eastAsia" w:ascii="仿宋_GB2312" w:hAnsi="文星仿宋" w:eastAsia="仿宋_GB2312"/>
          <w:sz w:val="32"/>
          <w:szCs w:val="30"/>
        </w:rPr>
        <w:t>增加，其主要原因是：区机关事务管理局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、区委组织部</w:t>
      </w:r>
      <w:r>
        <w:rPr>
          <w:rFonts w:hint="eastAsia" w:ascii="仿宋_GB2312" w:hAnsi="文星仿宋" w:eastAsia="仿宋_GB2312"/>
          <w:sz w:val="32"/>
          <w:szCs w:val="30"/>
        </w:rPr>
        <w:t>等单位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考核、迎检等任务增加，导致公务接待费用增加。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文星仿宋" w:eastAsia="仿宋_GB2312"/>
          <w:sz w:val="32"/>
          <w:szCs w:val="30"/>
          <w:lang w:eastAsia="zh-CN"/>
        </w:rPr>
      </w:pPr>
      <w:r>
        <w:rPr>
          <w:rFonts w:hint="eastAsia" w:ascii="仿宋_GB2312" w:hAnsi="文星仿宋" w:eastAsia="仿宋_GB2312"/>
          <w:sz w:val="32"/>
          <w:szCs w:val="30"/>
        </w:rPr>
        <w:t>我区“三公”经费主要是公务用车运行维护费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、</w:t>
      </w:r>
      <w:r>
        <w:rPr>
          <w:rFonts w:hint="eastAsia" w:ascii="仿宋_GB2312" w:hAnsi="文星仿宋" w:eastAsia="仿宋_GB2312"/>
          <w:sz w:val="32"/>
          <w:szCs w:val="30"/>
        </w:rPr>
        <w:t>公务用车购置费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减少</w:t>
      </w:r>
      <w:r>
        <w:rPr>
          <w:rFonts w:hint="eastAsia" w:ascii="仿宋_GB2312" w:hAnsi="文星仿宋" w:eastAsia="仿宋_GB2312"/>
          <w:sz w:val="32"/>
          <w:szCs w:val="30"/>
        </w:rPr>
        <w:t>，其主要原因是：</w:t>
      </w:r>
      <w:r>
        <w:rPr>
          <w:rFonts w:hint="eastAsia" w:ascii="仿宋_GB2312" w:hAnsi="文星仿宋" w:eastAsia="仿宋_GB2312"/>
          <w:sz w:val="32"/>
          <w:szCs w:val="30"/>
          <w:lang w:eastAsia="zh-CN"/>
        </w:rPr>
        <w:t>我区法院、检察院上划省直管，车辆购置及运行维护费由省厅直接保障，故相关费用减少。</w:t>
      </w:r>
    </w:p>
    <w:tbl>
      <w:tblPr>
        <w:tblStyle w:val="2"/>
        <w:tblW w:w="11760" w:type="dxa"/>
        <w:tblInd w:w="-1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年截至第四季度有关经费支出累计数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地区名称</w:t>
            </w:r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一、“三公”经费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“三公”经费合计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公务用车购置及运行维护费</w:t>
            </w: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 其中：出国（境）培训费用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1.公务用车购置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2.公务用车运行费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1.国内接待费</w:t>
            </w:r>
          </w:p>
        </w:tc>
        <w:tc>
          <w:tcPr>
            <w:tcW w:w="10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2.国（境）外接待费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其中：外事接待费</w:t>
            </w:r>
          </w:p>
        </w:tc>
        <w:tc>
          <w:tcPr>
            <w:tcW w:w="10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红旗区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224.44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13.04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165.09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46.31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46.31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上年同期有关经费支出累计数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地区名称</w:t>
            </w:r>
            <w:bookmarkStart w:id="0" w:name="_GoBack"/>
            <w:bookmarkEnd w:id="0"/>
          </w:p>
        </w:tc>
        <w:tc>
          <w:tcPr>
            <w:tcW w:w="106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一、“三公”经费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“三公”经费合计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公务用车购置及运行维护费</w:t>
            </w:r>
          </w:p>
        </w:tc>
        <w:tc>
          <w:tcPr>
            <w:tcW w:w="42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公务接待费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 xml:space="preserve"> 其中：出国（境）培训费用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1.公务用车购置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2.公务用车运行费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小计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1.国内接待费</w:t>
            </w:r>
          </w:p>
        </w:tc>
        <w:tc>
          <w:tcPr>
            <w:tcW w:w="10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2.国（境）外接待费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其中：外事接待费</w:t>
            </w:r>
          </w:p>
        </w:tc>
        <w:tc>
          <w:tcPr>
            <w:tcW w:w="10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</w:tr>
    </w:tbl>
    <w:p>
      <w:pPr>
        <w:widowControl/>
        <w:jc w:val="left"/>
        <w:rPr>
          <w:rFonts w:hint="eastAsia" w:ascii="宋体" w:hAnsi="宋体" w:cs="宋体"/>
          <w:b/>
          <w:bCs/>
          <w:kern w:val="0"/>
          <w:sz w:val="22"/>
          <w:szCs w:val="2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W w:w="11760" w:type="dxa"/>
        <w:tblInd w:w="-172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0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红旗区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457.79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422.32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171.96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250.36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35.47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35.47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0</w:t>
            </w:r>
          </w:p>
        </w:tc>
      </w:tr>
    </w:tbl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仿宋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F2D98"/>
    <w:rsid w:val="54E2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2022-09-05T10:56:00Z</dcterms:created>
  <dc:creator>Administrator</dc:creator>
  <cp:lastModifiedBy>Administrator</cp:lastModifiedBy>
  <dcterms:modified xsi:type="dcterms:W3CDTF">2022-09-06T01:14:51Z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